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91185A" w:rsidTr="004F500E">
        <w:trPr>
          <w:trHeight w:hRule="exact" w:val="1418"/>
        </w:trPr>
        <w:tc>
          <w:tcPr>
            <w:tcW w:w="6804" w:type="dxa"/>
            <w:shd w:val="clear" w:color="auto" w:fill="auto"/>
            <w:vAlign w:val="center"/>
          </w:tcPr>
          <w:p w:rsidR="00CA2FB9" w:rsidRPr="0091185A" w:rsidRDefault="0091185A" w:rsidP="004D5831">
            <w:pPr>
              <w:pStyle w:val="EPName"/>
              <w:rPr>
                <w:lang w:val="en-GB"/>
              </w:rPr>
            </w:pPr>
            <w:r w:rsidRPr="0091185A">
              <w:rPr>
                <w:lang w:val="en-GB"/>
              </w:rPr>
              <w:t>European Parliament</w:t>
            </w:r>
          </w:p>
          <w:p w:rsidR="00CA2FB9" w:rsidRPr="00607F2F" w:rsidRDefault="00607F2F" w:rsidP="00607F2F">
            <w:pPr>
              <w:pStyle w:val="EPTerm"/>
              <w:rPr>
                <w:rStyle w:val="HideTWBExt"/>
                <w:noProof w:val="0"/>
                <w:vanish w:val="0"/>
                <w:color w:val="auto"/>
                <w:lang w:val="en-GB"/>
              </w:rPr>
            </w:pPr>
            <w:r>
              <w:t>2014-2019</w:t>
            </w:r>
          </w:p>
        </w:tc>
        <w:tc>
          <w:tcPr>
            <w:tcW w:w="2268" w:type="dxa"/>
            <w:shd w:val="clear" w:color="auto" w:fill="auto"/>
          </w:tcPr>
          <w:p w:rsidR="00CA2FB9" w:rsidRPr="0091185A" w:rsidRDefault="00224C65" w:rsidP="004D5831">
            <w:pPr>
              <w:pStyle w:val="EPLogo"/>
            </w:pPr>
            <w:r>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91185A" w:rsidRDefault="00FF0919" w:rsidP="00FF0919">
      <w:pPr>
        <w:pStyle w:val="LineTop"/>
        <w:rPr>
          <w:lang w:val="en-GB"/>
        </w:rPr>
      </w:pPr>
    </w:p>
    <w:p w:rsidR="00FF0919" w:rsidRPr="0091185A" w:rsidRDefault="0091185A" w:rsidP="00FF0919">
      <w:pPr>
        <w:pStyle w:val="ZSessionDoc"/>
      </w:pPr>
      <w:r w:rsidRPr="0091185A">
        <w:t>Plenary sitting</w:t>
      </w:r>
    </w:p>
    <w:p w:rsidR="00752855" w:rsidRPr="0091185A" w:rsidRDefault="00752855" w:rsidP="00752855">
      <w:pPr>
        <w:pStyle w:val="LineBottom"/>
      </w:pPr>
    </w:p>
    <w:p w:rsidR="009D33CF" w:rsidRPr="0091185A" w:rsidRDefault="00335275" w:rsidP="00D57C45">
      <w:pPr>
        <w:pStyle w:val="RefDocRC"/>
      </w:pPr>
      <w:r w:rsidRPr="0091185A">
        <w:rPr>
          <w:rStyle w:val="HideTWBExt"/>
          <w:b w:val="0"/>
          <w:noProof w:val="0"/>
        </w:rPr>
        <w:t>&lt;RepeatBlock-NoDocSe&gt;</w:t>
      </w:r>
      <w:r w:rsidR="009D33CF" w:rsidRPr="0091185A">
        <w:tab/>
      </w:r>
      <w:r w:rsidR="009D33CF" w:rsidRPr="0091185A">
        <w:rPr>
          <w:rStyle w:val="HideTWBExt"/>
          <w:b w:val="0"/>
          <w:noProof w:val="0"/>
        </w:rPr>
        <w:t>&lt;NoDocSe&gt;</w:t>
      </w:r>
      <w:r w:rsidR="00607F2F">
        <w:t>B8</w:t>
      </w:r>
      <w:r w:rsidR="00607F2F">
        <w:noBreakHyphen/>
        <w:t>0085/2018</w:t>
      </w:r>
      <w:r w:rsidR="009D33CF" w:rsidRPr="0091185A">
        <w:rPr>
          <w:rStyle w:val="HideTWBExt"/>
          <w:b w:val="0"/>
          <w:noProof w:val="0"/>
        </w:rPr>
        <w:t>&lt;/NoDocSe&gt;</w:t>
      </w:r>
      <w:r w:rsidR="009D33CF" w:rsidRPr="0091185A">
        <w:t xml:space="preserve"> } </w:t>
      </w:r>
    </w:p>
    <w:p w:rsidR="00607F2F" w:rsidRPr="0091185A" w:rsidRDefault="00607F2F" w:rsidP="00607F2F">
      <w:pPr>
        <w:pStyle w:val="RefDocRC"/>
      </w:pPr>
      <w:r w:rsidRPr="0091185A">
        <w:tab/>
      </w:r>
      <w:r w:rsidRPr="0091185A">
        <w:rPr>
          <w:rStyle w:val="HideTWBExt"/>
          <w:b w:val="0"/>
          <w:noProof w:val="0"/>
        </w:rPr>
        <w:t>&lt;NoDocSe&gt;</w:t>
      </w:r>
      <w:r>
        <w:t>B8</w:t>
      </w:r>
      <w:r>
        <w:noBreakHyphen/>
        <w:t>0086/2018</w:t>
      </w:r>
      <w:r w:rsidRPr="0091185A">
        <w:rPr>
          <w:rStyle w:val="HideTWBExt"/>
          <w:b w:val="0"/>
          <w:noProof w:val="0"/>
        </w:rPr>
        <w:t>&lt;/NoDocSe&gt;</w:t>
      </w:r>
      <w:r w:rsidRPr="0091185A">
        <w:t xml:space="preserve"> } </w:t>
      </w:r>
    </w:p>
    <w:p w:rsidR="00607F2F" w:rsidRPr="0091185A" w:rsidRDefault="00607F2F" w:rsidP="00607F2F">
      <w:pPr>
        <w:pStyle w:val="RefDocRC"/>
      </w:pPr>
      <w:r w:rsidRPr="0091185A">
        <w:tab/>
      </w:r>
      <w:r w:rsidRPr="0091185A">
        <w:rPr>
          <w:rStyle w:val="HideTWBExt"/>
          <w:b w:val="0"/>
          <w:noProof w:val="0"/>
        </w:rPr>
        <w:t>&lt;NoDocSe&gt;</w:t>
      </w:r>
      <w:r>
        <w:t>B8</w:t>
      </w:r>
      <w:r>
        <w:noBreakHyphen/>
        <w:t>0088/2018</w:t>
      </w:r>
      <w:r w:rsidRPr="0091185A">
        <w:rPr>
          <w:rStyle w:val="HideTWBExt"/>
          <w:b w:val="0"/>
          <w:noProof w:val="0"/>
        </w:rPr>
        <w:t>&lt;/NoDocSe&gt;</w:t>
      </w:r>
      <w:r w:rsidRPr="0091185A">
        <w:t xml:space="preserve"> } </w:t>
      </w:r>
    </w:p>
    <w:p w:rsidR="00607F2F" w:rsidRPr="0091185A" w:rsidRDefault="00607F2F" w:rsidP="00607F2F">
      <w:pPr>
        <w:pStyle w:val="RefDocRC"/>
      </w:pPr>
      <w:r w:rsidRPr="0091185A">
        <w:tab/>
      </w:r>
      <w:r w:rsidRPr="0091185A">
        <w:rPr>
          <w:rStyle w:val="HideTWBExt"/>
          <w:b w:val="0"/>
          <w:noProof w:val="0"/>
        </w:rPr>
        <w:t>&lt;NoDocSe&gt;</w:t>
      </w:r>
      <w:r>
        <w:t>B8</w:t>
      </w:r>
      <w:r>
        <w:noBreakHyphen/>
        <w:t>0089/2018</w:t>
      </w:r>
      <w:r w:rsidRPr="0091185A">
        <w:rPr>
          <w:rStyle w:val="HideTWBExt"/>
          <w:b w:val="0"/>
          <w:noProof w:val="0"/>
        </w:rPr>
        <w:t>&lt;/NoDocSe&gt;</w:t>
      </w:r>
      <w:r w:rsidRPr="0091185A">
        <w:t xml:space="preserve"> } </w:t>
      </w:r>
    </w:p>
    <w:p w:rsidR="00607F2F" w:rsidRPr="0091185A" w:rsidRDefault="00607F2F" w:rsidP="00607F2F">
      <w:pPr>
        <w:pStyle w:val="RefDocRC"/>
      </w:pPr>
      <w:r w:rsidRPr="0091185A">
        <w:tab/>
      </w:r>
      <w:r w:rsidRPr="0091185A">
        <w:rPr>
          <w:rStyle w:val="HideTWBExt"/>
          <w:b w:val="0"/>
          <w:noProof w:val="0"/>
        </w:rPr>
        <w:t>&lt;NoDocSe&gt;</w:t>
      </w:r>
      <w:r>
        <w:t>B8</w:t>
      </w:r>
      <w:r>
        <w:noBreakHyphen/>
        <w:t>0090/2018</w:t>
      </w:r>
      <w:r w:rsidRPr="0091185A">
        <w:rPr>
          <w:rStyle w:val="HideTWBExt"/>
          <w:b w:val="0"/>
          <w:noProof w:val="0"/>
        </w:rPr>
        <w:t>&lt;/NoDocSe&gt;</w:t>
      </w:r>
      <w:r w:rsidRPr="0091185A">
        <w:t xml:space="preserve"> } </w:t>
      </w:r>
    </w:p>
    <w:p w:rsidR="009D33CF" w:rsidRPr="0091185A" w:rsidRDefault="009D33CF" w:rsidP="00D57C45">
      <w:pPr>
        <w:pStyle w:val="RefDocRC"/>
      </w:pPr>
      <w:r w:rsidRPr="0091185A">
        <w:tab/>
      </w:r>
      <w:r w:rsidRPr="0091185A">
        <w:rPr>
          <w:rStyle w:val="HideTWBExt"/>
          <w:b w:val="0"/>
          <w:noProof w:val="0"/>
        </w:rPr>
        <w:t>&lt;NoDocSe&gt;</w:t>
      </w:r>
      <w:r w:rsidR="00607F2F">
        <w:t>B8</w:t>
      </w:r>
      <w:r w:rsidR="00607F2F">
        <w:noBreakHyphen/>
        <w:t>0093/2018</w:t>
      </w:r>
      <w:r w:rsidRPr="0091185A">
        <w:rPr>
          <w:rStyle w:val="HideTWBExt"/>
          <w:b w:val="0"/>
          <w:noProof w:val="0"/>
        </w:rPr>
        <w:t>&lt;/NoDocSe&gt;</w:t>
      </w:r>
      <w:r w:rsidR="00A72F04" w:rsidRPr="0091185A">
        <w:rPr>
          <w:rStyle w:val="HideTWBExt"/>
          <w:b w:val="0"/>
          <w:noProof w:val="0"/>
        </w:rPr>
        <w:t>&lt;</w:t>
      </w:r>
      <w:r w:rsidR="002E2D08" w:rsidRPr="0091185A">
        <w:rPr>
          <w:rStyle w:val="HideTWBExt"/>
          <w:b w:val="0"/>
          <w:noProof w:val="0"/>
        </w:rPr>
        <w:t>/</w:t>
      </w:r>
      <w:r w:rsidR="00A72F04" w:rsidRPr="0091185A">
        <w:rPr>
          <w:rStyle w:val="HideTWBExt"/>
          <w:b w:val="0"/>
          <w:noProof w:val="0"/>
        </w:rPr>
        <w:t>RepeatBlock-NoDocSe&gt;</w:t>
      </w:r>
      <w:r w:rsidRPr="0091185A">
        <w:t xml:space="preserve"> } RC1</w:t>
      </w:r>
    </w:p>
    <w:p w:rsidR="004F500E" w:rsidRPr="0091185A" w:rsidRDefault="004F500E" w:rsidP="00250797">
      <w:pPr>
        <w:widowControl/>
        <w:tabs>
          <w:tab w:val="left" w:pos="-1071"/>
          <w:tab w:val="left" w:pos="-873"/>
          <w:tab w:val="left" w:pos="-453"/>
          <w:tab w:val="left" w:pos="7059"/>
          <w:tab w:val="left" w:pos="8763"/>
          <w:tab w:val="left" w:pos="9044"/>
        </w:tabs>
        <w:jc w:val="both"/>
      </w:pPr>
    </w:p>
    <w:p w:rsidR="004F500E" w:rsidRPr="0091185A" w:rsidRDefault="004F500E" w:rsidP="00F849BF">
      <w:pPr>
        <w:pStyle w:val="DateRC"/>
      </w:pPr>
      <w:r w:rsidRPr="0091185A">
        <w:rPr>
          <w:rStyle w:val="HideTWBExt"/>
          <w:noProof w:val="0"/>
        </w:rPr>
        <w:t>&lt;Date&gt;</w:t>
      </w:r>
      <w:r w:rsidR="00607F2F" w:rsidRPr="00607F2F">
        <w:rPr>
          <w:rStyle w:val="HideTWBInt"/>
        </w:rPr>
        <w:t>{07/02/2018}</w:t>
      </w:r>
      <w:r w:rsidR="00607F2F">
        <w:t>7.2.2018</w:t>
      </w:r>
      <w:r w:rsidRPr="0091185A">
        <w:rPr>
          <w:rStyle w:val="HideTWBExt"/>
          <w:noProof w:val="0"/>
        </w:rPr>
        <w:t>&lt;/Date&gt;</w:t>
      </w:r>
    </w:p>
    <w:p w:rsidR="009D33CF" w:rsidRPr="0091185A" w:rsidRDefault="009D33CF">
      <w:pPr>
        <w:pStyle w:val="TypeDocRC"/>
      </w:pPr>
      <w:r w:rsidRPr="0091185A">
        <w:rPr>
          <w:rStyle w:val="HideTWBExt"/>
          <w:b w:val="0"/>
          <w:noProof w:val="0"/>
        </w:rPr>
        <w:t>&lt;TitreType&gt;</w:t>
      </w:r>
      <w:r w:rsidR="0091185A" w:rsidRPr="0091185A">
        <w:t>JOINT MOTION FOR A RESOLUTION</w:t>
      </w:r>
      <w:r w:rsidRPr="0091185A">
        <w:rPr>
          <w:rStyle w:val="HideTWBExt"/>
          <w:b w:val="0"/>
          <w:noProof w:val="0"/>
        </w:rPr>
        <w:t>&lt;/TitreType&gt;</w:t>
      </w:r>
    </w:p>
    <w:p w:rsidR="009D33CF" w:rsidRPr="0091185A" w:rsidRDefault="009D33CF">
      <w:pPr>
        <w:pStyle w:val="Cover12"/>
      </w:pPr>
      <w:r w:rsidRPr="0091185A">
        <w:rPr>
          <w:rStyle w:val="HideTWBExt"/>
          <w:noProof w:val="0"/>
        </w:rPr>
        <w:t>&lt;TitreRecueil&gt;</w:t>
      </w:r>
      <w:proofErr w:type="gramStart"/>
      <w:r w:rsidR="0091185A" w:rsidRPr="0091185A">
        <w:t>pursuant</w:t>
      </w:r>
      <w:proofErr w:type="gramEnd"/>
      <w:r w:rsidR="0091185A" w:rsidRPr="0091185A">
        <w:t xml:space="preserve"> to </w:t>
      </w:r>
      <w:r w:rsidR="00607F2F">
        <w:t>Rule 123(2) and (4)</w:t>
      </w:r>
      <w:r w:rsidR="0091185A" w:rsidRPr="0091185A">
        <w:t xml:space="preserve"> of the Rules of Procedure</w:t>
      </w:r>
      <w:r w:rsidRPr="0091185A">
        <w:rPr>
          <w:rStyle w:val="HideTWBExt"/>
          <w:noProof w:val="0"/>
        </w:rPr>
        <w:t>&lt;/TitreRecueil&gt;</w:t>
      </w:r>
    </w:p>
    <w:p w:rsidR="00752855" w:rsidRPr="0091185A" w:rsidRDefault="0091185A" w:rsidP="00177088">
      <w:pPr>
        <w:pStyle w:val="CoverNormal"/>
      </w:pPr>
      <w:proofErr w:type="gramStart"/>
      <w:r w:rsidRPr="0091185A">
        <w:t>replacing</w:t>
      </w:r>
      <w:proofErr w:type="gramEnd"/>
      <w:r w:rsidRPr="0091185A">
        <w:t xml:space="preserve"> the motions by the following groups:</w:t>
      </w:r>
    </w:p>
    <w:p w:rsidR="00752855" w:rsidRPr="00607F2F" w:rsidRDefault="00607F2F" w:rsidP="00177088">
      <w:pPr>
        <w:pStyle w:val="CoverNormal"/>
        <w:rPr>
          <w:lang w:val="pt-PT"/>
        </w:rPr>
      </w:pPr>
      <w:r w:rsidRPr="00607F2F">
        <w:rPr>
          <w:lang w:val="pt-PT"/>
        </w:rPr>
        <w:t>GUE/NGL</w:t>
      </w:r>
      <w:r w:rsidR="00752855" w:rsidRPr="00607F2F">
        <w:rPr>
          <w:lang w:val="pt-PT"/>
        </w:rPr>
        <w:t xml:space="preserve"> (</w:t>
      </w:r>
      <w:r w:rsidRPr="00607F2F">
        <w:rPr>
          <w:lang w:val="pt-PT"/>
        </w:rPr>
        <w:t>B8</w:t>
      </w:r>
      <w:r w:rsidRPr="00607F2F">
        <w:rPr>
          <w:lang w:val="pt-PT"/>
        </w:rPr>
        <w:noBreakHyphen/>
        <w:t>0085/2018</w:t>
      </w:r>
      <w:r w:rsidR="00752855" w:rsidRPr="00607F2F">
        <w:rPr>
          <w:lang w:val="pt-PT"/>
        </w:rPr>
        <w:t>)</w:t>
      </w:r>
    </w:p>
    <w:p w:rsidR="00607F2F" w:rsidRPr="00607F2F" w:rsidRDefault="00607F2F" w:rsidP="00607F2F">
      <w:pPr>
        <w:pStyle w:val="CoverNormal"/>
        <w:rPr>
          <w:lang w:val="pt-PT"/>
        </w:rPr>
      </w:pPr>
      <w:r w:rsidRPr="00607F2F">
        <w:rPr>
          <w:lang w:val="pt-PT"/>
        </w:rPr>
        <w:t>ECR (B8</w:t>
      </w:r>
      <w:r w:rsidRPr="00607F2F">
        <w:rPr>
          <w:lang w:val="pt-PT"/>
        </w:rPr>
        <w:noBreakHyphen/>
        <w:t>0086/2018)</w:t>
      </w:r>
    </w:p>
    <w:p w:rsidR="00607F2F" w:rsidRPr="00607F2F" w:rsidRDefault="00607F2F" w:rsidP="00607F2F">
      <w:pPr>
        <w:pStyle w:val="CoverNormal"/>
        <w:rPr>
          <w:lang w:val="nl-NL"/>
        </w:rPr>
      </w:pPr>
      <w:r w:rsidRPr="00607F2F">
        <w:rPr>
          <w:lang w:val="nl-NL"/>
        </w:rPr>
        <w:t>S&amp;D (B8</w:t>
      </w:r>
      <w:r w:rsidRPr="00607F2F">
        <w:rPr>
          <w:lang w:val="nl-NL"/>
        </w:rPr>
        <w:noBreakHyphen/>
        <w:t>0088/2018)</w:t>
      </w:r>
    </w:p>
    <w:p w:rsidR="00607F2F" w:rsidRPr="00607F2F" w:rsidRDefault="00607F2F" w:rsidP="00607F2F">
      <w:pPr>
        <w:pStyle w:val="CoverNormal"/>
        <w:rPr>
          <w:lang w:val="nl-NL"/>
        </w:rPr>
      </w:pPr>
      <w:r w:rsidRPr="00607F2F">
        <w:rPr>
          <w:lang w:val="nl-NL"/>
        </w:rPr>
        <w:t>ALDE (B8</w:t>
      </w:r>
      <w:r w:rsidRPr="00607F2F">
        <w:rPr>
          <w:lang w:val="nl-NL"/>
        </w:rPr>
        <w:noBreakHyphen/>
        <w:t>0089/2018)</w:t>
      </w:r>
    </w:p>
    <w:p w:rsidR="00607F2F" w:rsidRPr="00607F2F" w:rsidRDefault="00607F2F" w:rsidP="00607F2F">
      <w:pPr>
        <w:pStyle w:val="CoverNormal"/>
        <w:rPr>
          <w:lang w:val="nl-NL"/>
        </w:rPr>
      </w:pPr>
      <w:proofErr w:type="spellStart"/>
      <w:r w:rsidRPr="00607F2F">
        <w:rPr>
          <w:lang w:val="nl-NL"/>
        </w:rPr>
        <w:t>Verts</w:t>
      </w:r>
      <w:proofErr w:type="spellEnd"/>
      <w:r w:rsidRPr="00607F2F">
        <w:rPr>
          <w:lang w:val="nl-NL"/>
        </w:rPr>
        <w:t>/ALE (B8</w:t>
      </w:r>
      <w:r w:rsidRPr="00607F2F">
        <w:rPr>
          <w:lang w:val="nl-NL"/>
        </w:rPr>
        <w:noBreakHyphen/>
        <w:t>0090/2018)</w:t>
      </w:r>
    </w:p>
    <w:p w:rsidR="00752855" w:rsidRPr="0091185A" w:rsidRDefault="00607F2F" w:rsidP="00177088">
      <w:pPr>
        <w:pStyle w:val="Cover12"/>
      </w:pPr>
      <w:r>
        <w:t>PPE</w:t>
      </w:r>
      <w:r w:rsidR="00752855" w:rsidRPr="0091185A">
        <w:t xml:space="preserve"> (</w:t>
      </w:r>
      <w:r>
        <w:t>B8</w:t>
      </w:r>
      <w:r>
        <w:noBreakHyphen/>
      </w:r>
      <w:r w:rsidRPr="00607F2F">
        <w:t>0093/2018</w:t>
      </w:r>
      <w:r w:rsidR="00752855" w:rsidRPr="0091185A">
        <w:t>)</w:t>
      </w:r>
    </w:p>
    <w:p w:rsidR="00AB70B2" w:rsidRPr="0091185A" w:rsidRDefault="00AB70B2" w:rsidP="00AB70B2">
      <w:pPr>
        <w:pStyle w:val="CoverNormal"/>
      </w:pPr>
      <w:r w:rsidRPr="0091185A">
        <w:rPr>
          <w:rStyle w:val="HideTWBExt"/>
          <w:noProof w:val="0"/>
        </w:rPr>
        <w:lastRenderedPageBreak/>
        <w:t>&lt;Titre&gt;</w:t>
      </w:r>
      <w:proofErr w:type="gramStart"/>
      <w:r w:rsidR="0091185A" w:rsidRPr="0091185A">
        <w:t>on</w:t>
      </w:r>
      <w:proofErr w:type="gramEnd"/>
      <w:r w:rsidR="0091185A" w:rsidRPr="0091185A">
        <w:t xml:space="preserve"> </w:t>
      </w:r>
      <w:r w:rsidR="00607F2F">
        <w:t>the situation of UNRWA</w:t>
      </w:r>
      <w:r w:rsidRPr="0091185A">
        <w:rPr>
          <w:rStyle w:val="HideTWBExt"/>
          <w:noProof w:val="0"/>
        </w:rPr>
        <w:t>&lt;/Titre&gt;</w:t>
      </w:r>
    </w:p>
    <w:p w:rsidR="00AB70B2" w:rsidRPr="00224C65" w:rsidRDefault="00AB70B2" w:rsidP="00AB70B2">
      <w:pPr>
        <w:pStyle w:val="Cover24"/>
        <w:rPr>
          <w:lang w:val="es-ES"/>
        </w:rPr>
      </w:pPr>
      <w:r w:rsidRPr="00224C65">
        <w:rPr>
          <w:rStyle w:val="HideTWBExt"/>
          <w:noProof w:val="0"/>
          <w:lang w:val="es-ES"/>
        </w:rPr>
        <w:t>&lt;DocRef&gt;</w:t>
      </w:r>
      <w:r w:rsidR="0091185A" w:rsidRPr="00224C65">
        <w:rPr>
          <w:lang w:val="es-ES"/>
        </w:rPr>
        <w:t>(</w:t>
      </w:r>
      <w:r w:rsidR="00607F2F" w:rsidRPr="00224C65">
        <w:rPr>
          <w:lang w:val="es-ES"/>
        </w:rPr>
        <w:t>2018/2553</w:t>
      </w:r>
      <w:r w:rsidR="0091185A" w:rsidRPr="00224C65">
        <w:rPr>
          <w:lang w:val="es-ES"/>
        </w:rPr>
        <w:t>(RSP))</w:t>
      </w:r>
      <w:r w:rsidRPr="00224C65">
        <w:rPr>
          <w:rStyle w:val="HideTWBExt"/>
          <w:noProof w:val="0"/>
          <w:lang w:val="es-ES"/>
        </w:rPr>
        <w:t>&lt;/DocRef&gt;</w:t>
      </w:r>
    </w:p>
    <w:p w:rsidR="00EC024A" w:rsidRPr="00224C65" w:rsidRDefault="004E13DA" w:rsidP="00177088">
      <w:pPr>
        <w:pStyle w:val="CoverBold"/>
        <w:rPr>
          <w:lang w:val="es-ES"/>
        </w:rPr>
      </w:pPr>
      <w:r w:rsidRPr="00224C65">
        <w:rPr>
          <w:rStyle w:val="HideTWBExt"/>
          <w:b w:val="0"/>
          <w:noProof w:val="0"/>
          <w:lang w:val="es-ES"/>
        </w:rPr>
        <w:t>&lt;RepeatBlock-By&gt;</w:t>
      </w:r>
      <w:r w:rsidR="009D33CF" w:rsidRPr="00224C65">
        <w:rPr>
          <w:rStyle w:val="HideTWBExt"/>
          <w:b w:val="0"/>
          <w:noProof w:val="0"/>
          <w:lang w:val="es-ES"/>
        </w:rPr>
        <w:t>&lt;Depute&gt;</w:t>
      </w:r>
      <w:r w:rsidR="00607F2F" w:rsidRPr="00224C65">
        <w:rPr>
          <w:lang w:val="es-ES"/>
        </w:rPr>
        <w:t xml:space="preserve">Cristian Dan </w:t>
      </w:r>
      <w:proofErr w:type="spellStart"/>
      <w:r w:rsidR="00607F2F" w:rsidRPr="00224C65">
        <w:rPr>
          <w:lang w:val="es-ES"/>
        </w:rPr>
        <w:t>Preda</w:t>
      </w:r>
      <w:proofErr w:type="spellEnd"/>
      <w:r w:rsidR="00607F2F" w:rsidRPr="00224C65">
        <w:rPr>
          <w:lang w:val="es-ES"/>
        </w:rPr>
        <w:t xml:space="preserve">, </w:t>
      </w:r>
      <w:proofErr w:type="spellStart"/>
      <w:r w:rsidR="00607F2F" w:rsidRPr="00224C65">
        <w:rPr>
          <w:lang w:val="es-ES"/>
        </w:rPr>
        <w:t>Tomáš</w:t>
      </w:r>
      <w:proofErr w:type="spellEnd"/>
      <w:r w:rsidR="00607F2F" w:rsidRPr="00224C65">
        <w:rPr>
          <w:lang w:val="es-ES"/>
        </w:rPr>
        <w:t xml:space="preserve"> </w:t>
      </w:r>
      <w:proofErr w:type="spellStart"/>
      <w:r w:rsidR="00607F2F" w:rsidRPr="00224C65">
        <w:rPr>
          <w:lang w:val="es-ES"/>
        </w:rPr>
        <w:t>Zdechovský</w:t>
      </w:r>
      <w:proofErr w:type="spellEnd"/>
      <w:r w:rsidR="00607F2F" w:rsidRPr="00224C65">
        <w:rPr>
          <w:lang w:val="es-ES"/>
        </w:rPr>
        <w:t xml:space="preserve">, Lorenzo Cesa, </w:t>
      </w:r>
      <w:proofErr w:type="spellStart"/>
      <w:r w:rsidR="00607F2F" w:rsidRPr="00224C65">
        <w:rPr>
          <w:lang w:val="es-ES"/>
        </w:rPr>
        <w:t>Tokia</w:t>
      </w:r>
      <w:proofErr w:type="spellEnd"/>
      <w:r w:rsidR="00607F2F" w:rsidRPr="00224C65">
        <w:rPr>
          <w:lang w:val="es-ES"/>
        </w:rPr>
        <w:t xml:space="preserve"> </w:t>
      </w:r>
      <w:proofErr w:type="spellStart"/>
      <w:r w:rsidR="00607F2F" w:rsidRPr="00224C65">
        <w:rPr>
          <w:lang w:val="es-ES"/>
        </w:rPr>
        <w:t>Saïfi</w:t>
      </w:r>
      <w:proofErr w:type="spellEnd"/>
      <w:r w:rsidR="009D33CF" w:rsidRPr="00224C65">
        <w:rPr>
          <w:rStyle w:val="HideTWBExt"/>
          <w:b w:val="0"/>
          <w:noProof w:val="0"/>
          <w:lang w:val="es-ES"/>
        </w:rPr>
        <w:t>&lt;/Depute&gt;</w:t>
      </w:r>
    </w:p>
    <w:p w:rsidR="009D33CF" w:rsidRPr="0091185A" w:rsidRDefault="009D33CF" w:rsidP="00177088">
      <w:pPr>
        <w:pStyle w:val="CoverNormal"/>
      </w:pPr>
      <w:r w:rsidRPr="0091185A">
        <w:rPr>
          <w:rStyle w:val="HideTWBExt"/>
          <w:noProof w:val="0"/>
        </w:rPr>
        <w:t>&lt;Commission&gt;</w:t>
      </w:r>
      <w:r w:rsidR="00607F2F" w:rsidRPr="00607F2F">
        <w:rPr>
          <w:rStyle w:val="HideTWBInt"/>
        </w:rPr>
        <w:t>{PPE}</w:t>
      </w:r>
      <w:proofErr w:type="gramStart"/>
      <w:r w:rsidR="00607F2F">
        <w:t>on</w:t>
      </w:r>
      <w:proofErr w:type="gramEnd"/>
      <w:r w:rsidR="00607F2F">
        <w:t xml:space="preserve"> behalf of the PPE Group</w:t>
      </w:r>
      <w:r w:rsidRPr="0091185A">
        <w:rPr>
          <w:rStyle w:val="HideTWBExt"/>
          <w:noProof w:val="0"/>
        </w:rPr>
        <w:t>&lt;/Commission&gt;</w:t>
      </w:r>
    </w:p>
    <w:p w:rsidR="00607F2F" w:rsidRPr="0091185A" w:rsidRDefault="00607F2F" w:rsidP="00607F2F">
      <w:pPr>
        <w:pStyle w:val="CoverBold"/>
      </w:pPr>
      <w:r w:rsidRPr="0091185A">
        <w:rPr>
          <w:rStyle w:val="HideTWBExt"/>
          <w:b w:val="0"/>
          <w:noProof w:val="0"/>
        </w:rPr>
        <w:t>&lt;Depute&gt;</w:t>
      </w:r>
      <w:r>
        <w:t xml:space="preserve">Elena </w:t>
      </w:r>
      <w:proofErr w:type="spellStart"/>
      <w:r>
        <w:t>Valenciano</w:t>
      </w:r>
      <w:proofErr w:type="spellEnd"/>
      <w:r>
        <w:t xml:space="preserve">, Arne </w:t>
      </w:r>
      <w:proofErr w:type="spellStart"/>
      <w:r>
        <w:t>Lietz</w:t>
      </w:r>
      <w:proofErr w:type="spellEnd"/>
      <w:r>
        <w:t xml:space="preserve">, Victor </w:t>
      </w:r>
      <w:proofErr w:type="spellStart"/>
      <w:r>
        <w:t>Boştinaru</w:t>
      </w:r>
      <w:proofErr w:type="spellEnd"/>
      <w:r>
        <w:t xml:space="preserve">, Brando </w:t>
      </w:r>
      <w:proofErr w:type="spellStart"/>
      <w:r>
        <w:t>Benifei</w:t>
      </w:r>
      <w:proofErr w:type="spellEnd"/>
      <w:r>
        <w:t xml:space="preserve">, Eugen Freund, Linda </w:t>
      </w:r>
      <w:proofErr w:type="spellStart"/>
      <w:r>
        <w:t>McAvan</w:t>
      </w:r>
      <w:proofErr w:type="spellEnd"/>
      <w:r>
        <w:t xml:space="preserve">, Soraya Post, Marita </w:t>
      </w:r>
      <w:proofErr w:type="spellStart"/>
      <w:r>
        <w:t>Ulvskog</w:t>
      </w:r>
      <w:proofErr w:type="spellEnd"/>
      <w:r w:rsidRPr="0091185A">
        <w:rPr>
          <w:rStyle w:val="HideTWBExt"/>
          <w:b w:val="0"/>
          <w:noProof w:val="0"/>
        </w:rPr>
        <w:t>&lt;/Depute&gt;</w:t>
      </w:r>
    </w:p>
    <w:p w:rsidR="00607F2F" w:rsidRPr="0091185A" w:rsidRDefault="00607F2F" w:rsidP="00607F2F">
      <w:pPr>
        <w:pStyle w:val="CoverNormal"/>
      </w:pPr>
      <w:r w:rsidRPr="0091185A">
        <w:rPr>
          <w:rStyle w:val="HideTWBExt"/>
          <w:noProof w:val="0"/>
        </w:rPr>
        <w:t>&lt;Commission&gt;</w:t>
      </w:r>
      <w:r w:rsidRPr="00607F2F">
        <w:rPr>
          <w:rStyle w:val="HideTWBInt"/>
        </w:rPr>
        <w:t>{S&amp;D}</w:t>
      </w:r>
      <w:proofErr w:type="gramStart"/>
      <w:r>
        <w:t>on</w:t>
      </w:r>
      <w:proofErr w:type="gramEnd"/>
      <w:r>
        <w:t xml:space="preserve"> behalf of the S&amp;D Group</w:t>
      </w:r>
      <w:r w:rsidRPr="0091185A">
        <w:rPr>
          <w:rStyle w:val="HideTWBExt"/>
          <w:noProof w:val="0"/>
        </w:rPr>
        <w:t>&lt;/Commission&gt;</w:t>
      </w:r>
    </w:p>
    <w:p w:rsidR="00607F2F" w:rsidRPr="0091185A" w:rsidRDefault="00607F2F" w:rsidP="00607F2F">
      <w:pPr>
        <w:pStyle w:val="CoverBold"/>
      </w:pPr>
      <w:r w:rsidRPr="0091185A">
        <w:rPr>
          <w:rStyle w:val="HideTWBExt"/>
          <w:b w:val="0"/>
          <w:noProof w:val="0"/>
        </w:rPr>
        <w:t>&lt;Depute&gt;</w:t>
      </w:r>
      <w:r>
        <w:t xml:space="preserve">Charles </w:t>
      </w:r>
      <w:proofErr w:type="spellStart"/>
      <w:r>
        <w:t>Tannock</w:t>
      </w:r>
      <w:proofErr w:type="spellEnd"/>
      <w:r>
        <w:t xml:space="preserve">, </w:t>
      </w:r>
      <w:proofErr w:type="spellStart"/>
      <w:r>
        <w:t>Ruža</w:t>
      </w:r>
      <w:proofErr w:type="spellEnd"/>
      <w:r>
        <w:t xml:space="preserve"> </w:t>
      </w:r>
      <w:proofErr w:type="spellStart"/>
      <w:r>
        <w:t>Tomašić</w:t>
      </w:r>
      <w:proofErr w:type="spellEnd"/>
      <w:r>
        <w:t xml:space="preserve">, Karol </w:t>
      </w:r>
      <w:proofErr w:type="spellStart"/>
      <w:r>
        <w:t>Karski</w:t>
      </w:r>
      <w:proofErr w:type="spellEnd"/>
      <w:r w:rsidRPr="0091185A">
        <w:rPr>
          <w:rStyle w:val="HideTWBExt"/>
          <w:b w:val="0"/>
          <w:noProof w:val="0"/>
        </w:rPr>
        <w:t>&lt;/Depute&gt;</w:t>
      </w:r>
    </w:p>
    <w:p w:rsidR="00607F2F" w:rsidRPr="0091185A" w:rsidRDefault="00607F2F" w:rsidP="00607F2F">
      <w:pPr>
        <w:pStyle w:val="CoverNormal"/>
      </w:pPr>
      <w:r w:rsidRPr="0091185A">
        <w:rPr>
          <w:rStyle w:val="HideTWBExt"/>
          <w:noProof w:val="0"/>
        </w:rPr>
        <w:t>&lt;Commission&gt;</w:t>
      </w:r>
      <w:r w:rsidRPr="00607F2F">
        <w:rPr>
          <w:rStyle w:val="HideTWBInt"/>
        </w:rPr>
        <w:t>{ECR}</w:t>
      </w:r>
      <w:proofErr w:type="gramStart"/>
      <w:r>
        <w:t>on</w:t>
      </w:r>
      <w:proofErr w:type="gramEnd"/>
      <w:r>
        <w:t xml:space="preserve"> behalf of the ECR Group</w:t>
      </w:r>
      <w:r w:rsidRPr="0091185A">
        <w:rPr>
          <w:rStyle w:val="HideTWBExt"/>
          <w:noProof w:val="0"/>
        </w:rPr>
        <w:t>&lt;/Commission&gt;</w:t>
      </w:r>
    </w:p>
    <w:p w:rsidR="00607F2F" w:rsidRPr="0091185A" w:rsidRDefault="00607F2F" w:rsidP="00607F2F">
      <w:pPr>
        <w:pStyle w:val="CoverBold"/>
      </w:pPr>
      <w:r w:rsidRPr="0091185A">
        <w:rPr>
          <w:rStyle w:val="HideTWBExt"/>
          <w:b w:val="0"/>
          <w:noProof w:val="0"/>
        </w:rPr>
        <w:t>&lt;Depute&gt;</w:t>
      </w:r>
      <w:r>
        <w:t xml:space="preserve">Hilde </w:t>
      </w:r>
      <w:proofErr w:type="spellStart"/>
      <w:r>
        <w:t>Vautmans</w:t>
      </w:r>
      <w:proofErr w:type="spellEnd"/>
      <w:r>
        <w:t xml:space="preserve">, Beatriz Becerra </w:t>
      </w:r>
      <w:proofErr w:type="spellStart"/>
      <w:r>
        <w:t>Basterrechea</w:t>
      </w:r>
      <w:proofErr w:type="spellEnd"/>
      <w:r>
        <w:t xml:space="preserve">, </w:t>
      </w:r>
      <w:proofErr w:type="spellStart"/>
      <w:r>
        <w:t>Izaskun</w:t>
      </w:r>
      <w:proofErr w:type="spellEnd"/>
      <w:r>
        <w:t xml:space="preserve"> Bilbao </w:t>
      </w:r>
      <w:proofErr w:type="spellStart"/>
      <w:r>
        <w:t>Barandica</w:t>
      </w:r>
      <w:proofErr w:type="spellEnd"/>
      <w:r>
        <w:t xml:space="preserve">, Gérard </w:t>
      </w:r>
      <w:proofErr w:type="spellStart"/>
      <w:r>
        <w:t>Deprez</w:t>
      </w:r>
      <w:proofErr w:type="spellEnd"/>
      <w:r>
        <w:t xml:space="preserve">, Marian Harkin, Ivan </w:t>
      </w:r>
      <w:proofErr w:type="spellStart"/>
      <w:r>
        <w:t>Jakovčić</w:t>
      </w:r>
      <w:proofErr w:type="spellEnd"/>
      <w:r>
        <w:t xml:space="preserve">, Patricia </w:t>
      </w:r>
      <w:proofErr w:type="spellStart"/>
      <w:r>
        <w:t>Lalonde</w:t>
      </w:r>
      <w:proofErr w:type="spellEnd"/>
      <w:r>
        <w:t xml:space="preserve">, Louis Michel, Javier </w:t>
      </w:r>
      <w:proofErr w:type="spellStart"/>
      <w:r>
        <w:t>Nart</w:t>
      </w:r>
      <w:proofErr w:type="spellEnd"/>
      <w:r>
        <w:t xml:space="preserve">, </w:t>
      </w:r>
      <w:proofErr w:type="spellStart"/>
      <w:r>
        <w:t>Urmas</w:t>
      </w:r>
      <w:proofErr w:type="spellEnd"/>
      <w:r>
        <w:t xml:space="preserve"> </w:t>
      </w:r>
      <w:proofErr w:type="spellStart"/>
      <w:r>
        <w:t>Paet</w:t>
      </w:r>
      <w:proofErr w:type="spellEnd"/>
      <w:r>
        <w:t xml:space="preserve">, </w:t>
      </w:r>
      <w:proofErr w:type="spellStart"/>
      <w:r>
        <w:t>Maite</w:t>
      </w:r>
      <w:proofErr w:type="spellEnd"/>
      <w:r>
        <w:t xml:space="preserve"> </w:t>
      </w:r>
      <w:proofErr w:type="spellStart"/>
      <w:r>
        <w:t>Pagazaurtundúa</w:t>
      </w:r>
      <w:proofErr w:type="spellEnd"/>
      <w:r>
        <w:t xml:space="preserve"> Ruiz, </w:t>
      </w:r>
      <w:proofErr w:type="spellStart"/>
      <w:r>
        <w:t>Jozo</w:t>
      </w:r>
      <w:proofErr w:type="spellEnd"/>
      <w:r>
        <w:t xml:space="preserve"> </w:t>
      </w:r>
      <w:proofErr w:type="spellStart"/>
      <w:r>
        <w:t>Radoš</w:t>
      </w:r>
      <w:proofErr w:type="spellEnd"/>
      <w:r>
        <w:t xml:space="preserve">, </w:t>
      </w:r>
      <w:proofErr w:type="spellStart"/>
      <w:r>
        <w:t>Marietje</w:t>
      </w:r>
      <w:proofErr w:type="spellEnd"/>
      <w:r>
        <w:t xml:space="preserve"> </w:t>
      </w:r>
      <w:proofErr w:type="spellStart"/>
      <w:r>
        <w:t>Schaake</w:t>
      </w:r>
      <w:proofErr w:type="spellEnd"/>
      <w:r>
        <w:t xml:space="preserve">, </w:t>
      </w:r>
      <w:proofErr w:type="spellStart"/>
      <w:r>
        <w:t>Jasenko</w:t>
      </w:r>
      <w:proofErr w:type="spellEnd"/>
      <w:r>
        <w:t xml:space="preserve"> </w:t>
      </w:r>
      <w:proofErr w:type="spellStart"/>
      <w:r>
        <w:t>Selimovic</w:t>
      </w:r>
      <w:proofErr w:type="spellEnd"/>
      <w:r>
        <w:t xml:space="preserve">, Pavel </w:t>
      </w:r>
      <w:proofErr w:type="spellStart"/>
      <w:r>
        <w:t>Telička</w:t>
      </w:r>
      <w:proofErr w:type="spellEnd"/>
      <w:r>
        <w:t xml:space="preserve">, Ramon </w:t>
      </w:r>
      <w:proofErr w:type="spellStart"/>
      <w:r>
        <w:t>Tremosa</w:t>
      </w:r>
      <w:proofErr w:type="spellEnd"/>
      <w:r>
        <w:t xml:space="preserve"> </w:t>
      </w:r>
      <w:proofErr w:type="spellStart"/>
      <w:r>
        <w:t>i</w:t>
      </w:r>
      <w:proofErr w:type="spellEnd"/>
      <w:r>
        <w:t xml:space="preserve"> </w:t>
      </w:r>
      <w:proofErr w:type="spellStart"/>
      <w:r>
        <w:t>Balcells</w:t>
      </w:r>
      <w:proofErr w:type="spellEnd"/>
      <w:r>
        <w:t xml:space="preserve">, Ivo </w:t>
      </w:r>
      <w:proofErr w:type="spellStart"/>
      <w:r>
        <w:t>Vajgl</w:t>
      </w:r>
      <w:proofErr w:type="spellEnd"/>
      <w:r>
        <w:t xml:space="preserve">, Cecilia </w:t>
      </w:r>
      <w:proofErr w:type="spellStart"/>
      <w:r>
        <w:t>Wikström</w:t>
      </w:r>
      <w:proofErr w:type="spellEnd"/>
      <w:r w:rsidRPr="0091185A">
        <w:rPr>
          <w:rStyle w:val="HideTWBExt"/>
          <w:b w:val="0"/>
          <w:noProof w:val="0"/>
        </w:rPr>
        <w:t>&lt;/Depute&gt;</w:t>
      </w:r>
    </w:p>
    <w:p w:rsidR="00607F2F" w:rsidRPr="0091185A" w:rsidRDefault="00607F2F" w:rsidP="00607F2F">
      <w:pPr>
        <w:pStyle w:val="CoverNormal"/>
      </w:pPr>
      <w:r w:rsidRPr="0091185A">
        <w:rPr>
          <w:rStyle w:val="HideTWBExt"/>
          <w:noProof w:val="0"/>
        </w:rPr>
        <w:t>&lt;Commission&gt;</w:t>
      </w:r>
      <w:r w:rsidRPr="00607F2F">
        <w:rPr>
          <w:rStyle w:val="HideTWBInt"/>
        </w:rPr>
        <w:t>{ALDE}</w:t>
      </w:r>
      <w:proofErr w:type="gramStart"/>
      <w:r>
        <w:t>on</w:t>
      </w:r>
      <w:proofErr w:type="gramEnd"/>
      <w:r>
        <w:t xml:space="preserve"> behalf of the ALDE Group</w:t>
      </w:r>
      <w:r w:rsidRPr="0091185A">
        <w:rPr>
          <w:rStyle w:val="HideTWBExt"/>
          <w:noProof w:val="0"/>
        </w:rPr>
        <w:t>&lt;/Commission&gt;</w:t>
      </w:r>
    </w:p>
    <w:p w:rsidR="00607F2F" w:rsidRPr="0091185A" w:rsidRDefault="00607F2F" w:rsidP="00607F2F">
      <w:pPr>
        <w:pStyle w:val="CoverBold"/>
      </w:pPr>
      <w:r w:rsidRPr="0091185A">
        <w:rPr>
          <w:rStyle w:val="HideTWBExt"/>
          <w:b w:val="0"/>
          <w:noProof w:val="0"/>
        </w:rPr>
        <w:t>&lt;Depute&gt;</w:t>
      </w:r>
      <w:proofErr w:type="spellStart"/>
      <w:r>
        <w:t>Neoklis</w:t>
      </w:r>
      <w:proofErr w:type="spellEnd"/>
      <w:r>
        <w:t xml:space="preserve"> </w:t>
      </w:r>
      <w:proofErr w:type="spellStart"/>
      <w:r>
        <w:t>Sylikiotis</w:t>
      </w:r>
      <w:proofErr w:type="spellEnd"/>
      <w:r>
        <w:t xml:space="preserve">, Patrick Le </w:t>
      </w:r>
      <w:proofErr w:type="spellStart"/>
      <w:r>
        <w:t>Hyaric</w:t>
      </w:r>
      <w:proofErr w:type="spellEnd"/>
      <w:r>
        <w:t xml:space="preserve">, Martina Anderson, </w:t>
      </w:r>
      <w:proofErr w:type="spellStart"/>
      <w:r>
        <w:t>Takis</w:t>
      </w:r>
      <w:proofErr w:type="spellEnd"/>
      <w:r>
        <w:t xml:space="preserve"> </w:t>
      </w:r>
      <w:proofErr w:type="spellStart"/>
      <w:r>
        <w:t>Hadjigeorgiou</w:t>
      </w:r>
      <w:proofErr w:type="spellEnd"/>
      <w:r>
        <w:t xml:space="preserve">, </w:t>
      </w:r>
      <w:proofErr w:type="spellStart"/>
      <w:r>
        <w:t>Merja</w:t>
      </w:r>
      <w:proofErr w:type="spellEnd"/>
      <w:r>
        <w:t xml:space="preserve"> </w:t>
      </w:r>
      <w:proofErr w:type="spellStart"/>
      <w:r>
        <w:t>Kyllönen</w:t>
      </w:r>
      <w:proofErr w:type="spellEnd"/>
      <w:r>
        <w:t xml:space="preserve">, Marie-Pierre </w:t>
      </w:r>
      <w:proofErr w:type="spellStart"/>
      <w:r>
        <w:t>Vieu</w:t>
      </w:r>
      <w:proofErr w:type="spellEnd"/>
      <w:r>
        <w:t xml:space="preserve">, Martina </w:t>
      </w:r>
      <w:proofErr w:type="spellStart"/>
      <w:r>
        <w:t>Michels</w:t>
      </w:r>
      <w:proofErr w:type="spellEnd"/>
      <w:r>
        <w:t xml:space="preserve">, Barbara </w:t>
      </w:r>
      <w:proofErr w:type="spellStart"/>
      <w:r>
        <w:t>Spinelli</w:t>
      </w:r>
      <w:proofErr w:type="spellEnd"/>
      <w:r>
        <w:t xml:space="preserve">, Marisa Matias, Anne-Marie </w:t>
      </w:r>
      <w:proofErr w:type="spellStart"/>
      <w:r>
        <w:t>Mineur</w:t>
      </w:r>
      <w:proofErr w:type="spellEnd"/>
      <w:r>
        <w:t xml:space="preserve">, Dennis de Jong, </w:t>
      </w:r>
      <w:proofErr w:type="spellStart"/>
      <w:r>
        <w:t>Kateřina</w:t>
      </w:r>
      <w:proofErr w:type="spellEnd"/>
      <w:r>
        <w:t xml:space="preserve"> </w:t>
      </w:r>
      <w:proofErr w:type="spellStart"/>
      <w:r>
        <w:t>Konečná</w:t>
      </w:r>
      <w:proofErr w:type="spellEnd"/>
      <w:r>
        <w:t xml:space="preserve">, Nikolaos </w:t>
      </w:r>
      <w:proofErr w:type="spellStart"/>
      <w:r>
        <w:t>Chountis</w:t>
      </w:r>
      <w:proofErr w:type="spellEnd"/>
      <w:r>
        <w:t xml:space="preserve">, </w:t>
      </w:r>
      <w:proofErr w:type="spellStart"/>
      <w:r>
        <w:t>Dimitrios</w:t>
      </w:r>
      <w:proofErr w:type="spellEnd"/>
      <w:r>
        <w:t xml:space="preserve"> </w:t>
      </w:r>
      <w:proofErr w:type="spellStart"/>
      <w:r>
        <w:t>Papadimoulis</w:t>
      </w:r>
      <w:proofErr w:type="spellEnd"/>
      <w:r>
        <w:t xml:space="preserve">, Stelios </w:t>
      </w:r>
      <w:proofErr w:type="spellStart"/>
      <w:r>
        <w:t>Kouloglou</w:t>
      </w:r>
      <w:proofErr w:type="spellEnd"/>
      <w:r>
        <w:t xml:space="preserve">, Lola Sánchez </w:t>
      </w:r>
      <w:proofErr w:type="spellStart"/>
      <w:r>
        <w:t>Caldentey</w:t>
      </w:r>
      <w:proofErr w:type="spellEnd"/>
      <w:r>
        <w:t xml:space="preserve">, Miguel </w:t>
      </w:r>
      <w:proofErr w:type="spellStart"/>
      <w:r>
        <w:t>Urbán</w:t>
      </w:r>
      <w:proofErr w:type="spellEnd"/>
      <w:r>
        <w:t xml:space="preserve"> Crespo, Tania González </w:t>
      </w:r>
      <w:proofErr w:type="spellStart"/>
      <w:r>
        <w:t>Peñas</w:t>
      </w:r>
      <w:proofErr w:type="spellEnd"/>
      <w:r>
        <w:t xml:space="preserve">, </w:t>
      </w:r>
      <w:proofErr w:type="spellStart"/>
      <w:r>
        <w:t>Xabier</w:t>
      </w:r>
      <w:proofErr w:type="spellEnd"/>
      <w:r>
        <w:t xml:space="preserve"> Benito </w:t>
      </w:r>
      <w:proofErr w:type="spellStart"/>
      <w:r>
        <w:t>Ziluaga</w:t>
      </w:r>
      <w:proofErr w:type="spellEnd"/>
      <w:r>
        <w:t xml:space="preserve">, </w:t>
      </w:r>
      <w:proofErr w:type="spellStart"/>
      <w:r>
        <w:t>Estefanía</w:t>
      </w:r>
      <w:proofErr w:type="spellEnd"/>
      <w:r>
        <w:t xml:space="preserve"> Torres </w:t>
      </w:r>
      <w:proofErr w:type="spellStart"/>
      <w:r>
        <w:t>Martínez</w:t>
      </w:r>
      <w:proofErr w:type="spellEnd"/>
      <w:r>
        <w:t xml:space="preserve">, </w:t>
      </w:r>
      <w:proofErr w:type="spellStart"/>
      <w:r>
        <w:t>Kostadinka</w:t>
      </w:r>
      <w:proofErr w:type="spellEnd"/>
      <w:r>
        <w:t xml:space="preserve"> </w:t>
      </w:r>
      <w:proofErr w:type="spellStart"/>
      <w:r>
        <w:t>Kuneva</w:t>
      </w:r>
      <w:proofErr w:type="spellEnd"/>
      <w:r>
        <w:t xml:space="preserve">, </w:t>
      </w:r>
      <w:proofErr w:type="spellStart"/>
      <w:r>
        <w:t>Ángela</w:t>
      </w:r>
      <w:proofErr w:type="spellEnd"/>
      <w:r>
        <w:t xml:space="preserve"> </w:t>
      </w:r>
      <w:proofErr w:type="spellStart"/>
      <w:r>
        <w:t>Vallina</w:t>
      </w:r>
      <w:proofErr w:type="spellEnd"/>
      <w:r>
        <w:t xml:space="preserve">, Matt </w:t>
      </w:r>
      <w:proofErr w:type="spellStart"/>
      <w:r>
        <w:t>Carthy</w:t>
      </w:r>
      <w:proofErr w:type="spellEnd"/>
      <w:r>
        <w:t xml:space="preserve">, Lynn Boylan, </w:t>
      </w:r>
      <w:proofErr w:type="spellStart"/>
      <w:r>
        <w:t>Liadh</w:t>
      </w:r>
      <w:proofErr w:type="spellEnd"/>
      <w:r>
        <w:t xml:space="preserve"> </w:t>
      </w:r>
      <w:proofErr w:type="spellStart"/>
      <w:r>
        <w:t>Ní</w:t>
      </w:r>
      <w:proofErr w:type="spellEnd"/>
      <w:r>
        <w:t xml:space="preserve"> </w:t>
      </w:r>
      <w:proofErr w:type="spellStart"/>
      <w:r>
        <w:t>Riada</w:t>
      </w:r>
      <w:proofErr w:type="spellEnd"/>
      <w:r>
        <w:t xml:space="preserve">, </w:t>
      </w:r>
      <w:proofErr w:type="spellStart"/>
      <w:r>
        <w:t>Younous</w:t>
      </w:r>
      <w:proofErr w:type="spellEnd"/>
      <w:r>
        <w:t xml:space="preserve"> </w:t>
      </w:r>
      <w:proofErr w:type="spellStart"/>
      <w:r>
        <w:t>Omarjee</w:t>
      </w:r>
      <w:proofErr w:type="spellEnd"/>
      <w:r w:rsidRPr="0091185A">
        <w:rPr>
          <w:rStyle w:val="HideTWBExt"/>
          <w:b w:val="0"/>
          <w:noProof w:val="0"/>
        </w:rPr>
        <w:t>&lt;/Depute&gt;</w:t>
      </w:r>
    </w:p>
    <w:p w:rsidR="00607F2F" w:rsidRPr="0091185A" w:rsidRDefault="00607F2F" w:rsidP="00607F2F">
      <w:pPr>
        <w:pStyle w:val="CoverNormal"/>
      </w:pPr>
      <w:r w:rsidRPr="0091185A">
        <w:rPr>
          <w:rStyle w:val="HideTWBExt"/>
          <w:noProof w:val="0"/>
        </w:rPr>
        <w:t>&lt;Commission&gt;</w:t>
      </w:r>
      <w:r w:rsidR="00321B0A" w:rsidRPr="00321B0A">
        <w:rPr>
          <w:rStyle w:val="HideTWBInt"/>
        </w:rPr>
        <w:t>{GUE/NGL}</w:t>
      </w:r>
      <w:proofErr w:type="gramStart"/>
      <w:r w:rsidR="00321B0A">
        <w:t>on</w:t>
      </w:r>
      <w:proofErr w:type="gramEnd"/>
      <w:r w:rsidR="00321B0A">
        <w:t xml:space="preserve"> behalf of the GUE/NGL Group</w:t>
      </w:r>
      <w:r w:rsidRPr="0091185A">
        <w:rPr>
          <w:rStyle w:val="HideTWBExt"/>
          <w:noProof w:val="0"/>
        </w:rPr>
        <w:t>&lt;/Commission&gt;</w:t>
      </w:r>
    </w:p>
    <w:p w:rsidR="00607F2F" w:rsidRPr="0091185A" w:rsidRDefault="00607F2F" w:rsidP="00607F2F">
      <w:pPr>
        <w:pStyle w:val="CoverBold"/>
      </w:pPr>
      <w:r w:rsidRPr="0091185A">
        <w:rPr>
          <w:rStyle w:val="HideTWBExt"/>
          <w:b w:val="0"/>
          <w:noProof w:val="0"/>
        </w:rPr>
        <w:t>&lt;Depute&gt;</w:t>
      </w:r>
      <w:proofErr w:type="spellStart"/>
      <w:r w:rsidR="00321B0A">
        <w:t>Davor</w:t>
      </w:r>
      <w:proofErr w:type="spellEnd"/>
      <w:r w:rsidR="00321B0A">
        <w:t xml:space="preserve"> </w:t>
      </w:r>
      <w:proofErr w:type="spellStart"/>
      <w:r w:rsidR="00321B0A">
        <w:t>Škrlec</w:t>
      </w:r>
      <w:proofErr w:type="spellEnd"/>
      <w:r w:rsidR="00321B0A">
        <w:t xml:space="preserve">, Heidi </w:t>
      </w:r>
      <w:proofErr w:type="spellStart"/>
      <w:r w:rsidR="00321B0A">
        <w:t>Hautala</w:t>
      </w:r>
      <w:proofErr w:type="spellEnd"/>
      <w:r w:rsidR="00321B0A">
        <w:t xml:space="preserve">, Judith </w:t>
      </w:r>
      <w:proofErr w:type="spellStart"/>
      <w:r w:rsidR="00321B0A">
        <w:t>Sargentini</w:t>
      </w:r>
      <w:proofErr w:type="spellEnd"/>
      <w:r w:rsidR="00321B0A">
        <w:t xml:space="preserve">, </w:t>
      </w:r>
      <w:proofErr w:type="spellStart"/>
      <w:r w:rsidR="00321B0A">
        <w:t>Margrete</w:t>
      </w:r>
      <w:proofErr w:type="spellEnd"/>
      <w:r w:rsidR="00321B0A">
        <w:t xml:space="preserve"> </w:t>
      </w:r>
      <w:proofErr w:type="spellStart"/>
      <w:r w:rsidR="00321B0A">
        <w:t>Auken</w:t>
      </w:r>
      <w:proofErr w:type="spellEnd"/>
      <w:r w:rsidR="00321B0A">
        <w:t xml:space="preserve">, </w:t>
      </w:r>
      <w:proofErr w:type="spellStart"/>
      <w:r w:rsidR="00321B0A">
        <w:t>Florent</w:t>
      </w:r>
      <w:proofErr w:type="spellEnd"/>
      <w:r w:rsidR="00321B0A">
        <w:t xml:space="preserve"> </w:t>
      </w:r>
      <w:proofErr w:type="spellStart"/>
      <w:r w:rsidR="00321B0A">
        <w:t>Marcellesi</w:t>
      </w:r>
      <w:proofErr w:type="spellEnd"/>
      <w:r w:rsidR="00321B0A">
        <w:t xml:space="preserve">, Klaus Buchner, Bart </w:t>
      </w:r>
      <w:proofErr w:type="spellStart"/>
      <w:r w:rsidR="00321B0A">
        <w:t>Staes</w:t>
      </w:r>
      <w:proofErr w:type="spellEnd"/>
      <w:r w:rsidR="00321B0A">
        <w:t xml:space="preserve">, Jordi </w:t>
      </w:r>
      <w:proofErr w:type="spellStart"/>
      <w:r w:rsidR="00321B0A">
        <w:t>Solé</w:t>
      </w:r>
      <w:proofErr w:type="spellEnd"/>
      <w:r w:rsidR="00321B0A">
        <w:t xml:space="preserve">, Keith Taylor, Molly Scott Cato, Alyn Smith, Ernest </w:t>
      </w:r>
      <w:proofErr w:type="spellStart"/>
      <w:r w:rsidR="00321B0A">
        <w:t>Urtasun</w:t>
      </w:r>
      <w:proofErr w:type="spellEnd"/>
      <w:r w:rsidR="00321B0A">
        <w:t xml:space="preserve">, </w:t>
      </w:r>
      <w:proofErr w:type="spellStart"/>
      <w:r w:rsidR="00321B0A">
        <w:t>Jakop</w:t>
      </w:r>
      <w:proofErr w:type="spellEnd"/>
      <w:r w:rsidR="00321B0A">
        <w:t xml:space="preserve"> </w:t>
      </w:r>
      <w:proofErr w:type="spellStart"/>
      <w:r w:rsidR="00321B0A">
        <w:t>Dalunde</w:t>
      </w:r>
      <w:proofErr w:type="spellEnd"/>
      <w:r w:rsidRPr="0091185A">
        <w:rPr>
          <w:rStyle w:val="HideTWBExt"/>
          <w:b w:val="0"/>
          <w:noProof w:val="0"/>
        </w:rPr>
        <w:t>&lt;/Depute&gt;</w:t>
      </w:r>
    </w:p>
    <w:p w:rsidR="00607F2F" w:rsidRPr="0091185A" w:rsidRDefault="00607F2F" w:rsidP="00607F2F">
      <w:pPr>
        <w:pStyle w:val="CoverNormal"/>
      </w:pPr>
      <w:r w:rsidRPr="0091185A">
        <w:rPr>
          <w:rStyle w:val="HideTWBExt"/>
          <w:noProof w:val="0"/>
        </w:rPr>
        <w:t>&lt;Commission&gt;</w:t>
      </w:r>
      <w:r w:rsidR="00321B0A" w:rsidRPr="00321B0A">
        <w:rPr>
          <w:rStyle w:val="HideTWBInt"/>
        </w:rPr>
        <w:t>{Verts/ALE}</w:t>
      </w:r>
      <w:proofErr w:type="gramStart"/>
      <w:r w:rsidR="00321B0A">
        <w:t>on</w:t>
      </w:r>
      <w:proofErr w:type="gramEnd"/>
      <w:r w:rsidR="00321B0A">
        <w:t xml:space="preserve"> behalf of the </w:t>
      </w:r>
      <w:proofErr w:type="spellStart"/>
      <w:r w:rsidR="00321B0A">
        <w:t>Verts</w:t>
      </w:r>
      <w:proofErr w:type="spellEnd"/>
      <w:r w:rsidR="00321B0A">
        <w:t>/ALE Group</w:t>
      </w:r>
      <w:r w:rsidRPr="0091185A">
        <w:rPr>
          <w:rStyle w:val="HideTWBExt"/>
          <w:noProof w:val="0"/>
        </w:rPr>
        <w:t>&lt;/Commission&gt;</w:t>
      </w:r>
    </w:p>
    <w:p w:rsidR="00EC024A" w:rsidRPr="00E4565B" w:rsidRDefault="009D33CF" w:rsidP="00177088">
      <w:pPr>
        <w:pStyle w:val="CoverBold"/>
        <w:rPr>
          <w:lang w:val="it-IT"/>
        </w:rPr>
      </w:pPr>
      <w:r w:rsidRPr="00E4565B">
        <w:rPr>
          <w:rStyle w:val="HideTWBExt"/>
          <w:b w:val="0"/>
          <w:noProof w:val="0"/>
          <w:lang w:val="it-IT"/>
        </w:rPr>
        <w:t>&lt;Depute&gt;</w:t>
      </w:r>
      <w:r w:rsidR="00321B0A" w:rsidRPr="00E4565B">
        <w:rPr>
          <w:lang w:val="it-IT"/>
        </w:rPr>
        <w:t xml:space="preserve">Fabio Massimo Castaldo, Ignazio </w:t>
      </w:r>
      <w:proofErr w:type="spellStart"/>
      <w:r w:rsidR="00321B0A" w:rsidRPr="00E4565B">
        <w:rPr>
          <w:lang w:val="it-IT"/>
        </w:rPr>
        <w:t>Corrao</w:t>
      </w:r>
      <w:proofErr w:type="spellEnd"/>
      <w:r w:rsidR="00321B0A" w:rsidRPr="00E4565B">
        <w:rPr>
          <w:lang w:val="it-IT"/>
        </w:rPr>
        <w:t>, Laura Agea</w:t>
      </w:r>
      <w:r w:rsidRPr="00E4565B">
        <w:rPr>
          <w:rStyle w:val="HideTWBExt"/>
          <w:b w:val="0"/>
          <w:noProof w:val="0"/>
          <w:lang w:val="it-IT"/>
        </w:rPr>
        <w:t>&lt;/Depute&gt;</w:t>
      </w:r>
    </w:p>
    <w:p w:rsidR="009D33CF" w:rsidRPr="00E4565B" w:rsidRDefault="009D33CF" w:rsidP="00177088">
      <w:pPr>
        <w:pStyle w:val="Cover12"/>
        <w:rPr>
          <w:rStyle w:val="CoverNormalChar"/>
          <w:lang w:val="it-IT"/>
        </w:rPr>
      </w:pPr>
      <w:r w:rsidRPr="00E4565B">
        <w:rPr>
          <w:rStyle w:val="HideTWBExt"/>
          <w:noProof w:val="0"/>
          <w:lang w:val="it-IT"/>
        </w:rPr>
        <w:t>&lt;Commission&gt;&lt;/Commission&gt;</w:t>
      </w:r>
      <w:r w:rsidR="004E13DA" w:rsidRPr="00E4565B">
        <w:rPr>
          <w:rStyle w:val="HideTWBExt"/>
          <w:noProof w:val="0"/>
          <w:lang w:val="it-IT"/>
        </w:rPr>
        <w:t>&lt;/RepeatBlock-By&gt;</w:t>
      </w:r>
    </w:p>
    <w:p w:rsidR="00AB70B2" w:rsidRPr="0091185A" w:rsidRDefault="009D33CF" w:rsidP="00AB70B2">
      <w:pPr>
        <w:pStyle w:val="NormalBold"/>
      </w:pPr>
      <w:r w:rsidRPr="00224C65">
        <w:br w:type="page"/>
      </w:r>
      <w:r w:rsidR="0091185A" w:rsidRPr="0091185A">
        <w:lastRenderedPageBreak/>
        <w:t xml:space="preserve">European Parliament resolution on </w:t>
      </w:r>
      <w:r w:rsidR="00321B0A" w:rsidRPr="00321B0A">
        <w:t>the situation of UNRWA</w:t>
      </w:r>
    </w:p>
    <w:p w:rsidR="00AB70B2" w:rsidRPr="0091185A" w:rsidRDefault="0091185A" w:rsidP="00AB70B2">
      <w:pPr>
        <w:pStyle w:val="Normal24Bold"/>
      </w:pPr>
      <w:r w:rsidRPr="0091185A">
        <w:t>(</w:t>
      </w:r>
      <w:r w:rsidR="00321B0A" w:rsidRPr="00321B0A">
        <w:t>2018/2553</w:t>
      </w:r>
      <w:r w:rsidRPr="0091185A">
        <w:t>(RSP))</w:t>
      </w:r>
    </w:p>
    <w:p w:rsidR="003B04A4" w:rsidRPr="00DC0F75" w:rsidRDefault="003B04A4" w:rsidP="003B04A4">
      <w:pPr>
        <w:pStyle w:val="Normal12"/>
      </w:pPr>
      <w:r>
        <w:rPr>
          <w:i/>
        </w:rPr>
        <w:t>The European Parliament</w:t>
      </w:r>
      <w:r>
        <w:t>,</w:t>
      </w:r>
    </w:p>
    <w:p w:rsidR="003B04A4" w:rsidRPr="00F04AD0" w:rsidRDefault="003B04A4" w:rsidP="00E4565B">
      <w:pPr>
        <w:pStyle w:val="Hanging12"/>
      </w:pPr>
      <w:r>
        <w:t>–</w:t>
      </w:r>
      <w:r>
        <w:tab/>
        <w:t>having regard to its previous resolutions on the Middle East Peace Process,</w:t>
      </w:r>
    </w:p>
    <w:p w:rsidR="003B04A4" w:rsidRPr="00F04AD0" w:rsidRDefault="003B04A4" w:rsidP="00E4565B">
      <w:pPr>
        <w:pStyle w:val="Hanging12"/>
      </w:pPr>
      <w:r>
        <w:t>–</w:t>
      </w:r>
      <w:r>
        <w:tab/>
        <w:t>having regard to the Joint Declaration of the European Union and the United Nations Relief and Works Agency for Palestine Refugees in the Near East (UNRWA) of 7 June 2017 on European Union support to UNRWA (2017-2020),</w:t>
      </w:r>
    </w:p>
    <w:p w:rsidR="003B04A4" w:rsidRPr="00F04AD0" w:rsidRDefault="003B04A4" w:rsidP="00E4565B">
      <w:pPr>
        <w:pStyle w:val="Hanging12"/>
      </w:pPr>
      <w:r>
        <w:t>–</w:t>
      </w:r>
      <w:r>
        <w:tab/>
        <w:t>having regard to UN General Assembly resolutions 194 of 11 December 1948 and 302 of 8 December 1949, and to other relevant UN resolutions,</w:t>
      </w:r>
    </w:p>
    <w:p w:rsidR="003B04A4" w:rsidRPr="00F04AD0" w:rsidRDefault="003B04A4" w:rsidP="00E4565B">
      <w:pPr>
        <w:pStyle w:val="Hanging12"/>
      </w:pPr>
      <w:r>
        <w:t>–</w:t>
      </w:r>
      <w:r>
        <w:tab/>
        <w:t xml:space="preserve">having regard to the report of the UN Secretary-General of 30 March 2017 entitled </w:t>
      </w:r>
      <w:r w:rsidR="00A52336">
        <w:t>‘</w:t>
      </w:r>
      <w:r>
        <w:t>Operations of the United Nations Relief and Works Agency for Palestine Refugees in the Near East</w:t>
      </w:r>
      <w:r w:rsidR="00A52336">
        <w:t>’</w:t>
      </w:r>
      <w:r>
        <w:t>,</w:t>
      </w:r>
    </w:p>
    <w:p w:rsidR="003B04A4" w:rsidRPr="00F04AD0" w:rsidRDefault="003B04A4" w:rsidP="00E4565B">
      <w:pPr>
        <w:pStyle w:val="Hanging12"/>
      </w:pPr>
      <w:r>
        <w:t>–</w:t>
      </w:r>
      <w:r w:rsidRPr="00E4565B">
        <w:rPr>
          <w:b/>
          <w:i/>
        </w:rPr>
        <w:tab/>
      </w:r>
      <w:r w:rsidRPr="003B04A4">
        <w:t xml:space="preserve">having regard to Rule 123(2) </w:t>
      </w:r>
      <w:r>
        <w:t xml:space="preserve">and (4) </w:t>
      </w:r>
      <w:r w:rsidRPr="003B04A4">
        <w:t>of its Rules of Procedure,</w:t>
      </w:r>
    </w:p>
    <w:p w:rsidR="003B04A4" w:rsidRPr="00F04AD0" w:rsidRDefault="003B04A4" w:rsidP="00E4565B">
      <w:pPr>
        <w:pStyle w:val="Hanging12"/>
      </w:pPr>
      <w:proofErr w:type="gramStart"/>
      <w:r>
        <w:t>A.</w:t>
      </w:r>
      <w:r>
        <w:tab/>
        <w:t xml:space="preserve">whereas UNRWA is a </w:t>
      </w:r>
      <w:r w:rsidR="00F63CE9">
        <w:t>UN</w:t>
      </w:r>
      <w:r>
        <w:t xml:space="preserve"> agency established by the General Assembly in 1949 and mandated to provide assistance and protection to some 5 million registered Palestine refugees; whereas UNRWA</w:t>
      </w:r>
      <w:r w:rsidR="00A52336">
        <w:t>’</w:t>
      </w:r>
      <w:r>
        <w:t xml:space="preserve">s services encompass education, healthcare, relief and social services, camp infrastructure and improvement, protection and microfinance; whereas the UN General Assembly has renewed </w:t>
      </w:r>
      <w:r w:rsidRPr="00F04AD0">
        <w:t>UNRWA</w:t>
      </w:r>
      <w:r w:rsidR="00A52336">
        <w:t>’</w:t>
      </w:r>
      <w:r w:rsidRPr="00F04AD0">
        <w:t>s</w:t>
      </w:r>
      <w:r>
        <w:t xml:space="preserve"> mandate many times, most recently until 30 June 2020 by a vote of 167 UN member states;</w:t>
      </w:r>
      <w:proofErr w:type="gramEnd"/>
    </w:p>
    <w:p w:rsidR="003B04A4" w:rsidRPr="00F04AD0" w:rsidRDefault="003B04A4" w:rsidP="00E4565B">
      <w:pPr>
        <w:pStyle w:val="Hanging12"/>
      </w:pPr>
      <w:proofErr w:type="gramStart"/>
      <w:r>
        <w:t>B.</w:t>
      </w:r>
      <w:r>
        <w:tab/>
        <w:t xml:space="preserve">whereas the EU and its Member States, taken together, are the largest donor to UNRWA, contributing EUR 441 million in 2017; whereas the United States, as the largest single-country donor, has announced that it will contribute USD 60 million but withhold USD 65 million from a scheduled payment of USD 125 million to </w:t>
      </w:r>
      <w:r w:rsidRPr="00F04AD0">
        <w:t>UNRWA</w:t>
      </w:r>
      <w:r>
        <w:t>; whereas this decision was, according to the State Department, intended to encourage other countries to increase aid as well as to promote reform within the Agency;</w:t>
      </w:r>
      <w:proofErr w:type="gramEnd"/>
    </w:p>
    <w:p w:rsidR="003B04A4" w:rsidRPr="00F04AD0" w:rsidRDefault="003B04A4" w:rsidP="00E4565B">
      <w:pPr>
        <w:pStyle w:val="Hanging12"/>
      </w:pPr>
      <w:r>
        <w:t>C.</w:t>
      </w:r>
      <w:r>
        <w:tab/>
        <w:t>whereas UNRWA has been facing major structural financial shortcomings for many years and would have faced continued difficulties in 2018 independently of the decision of the US government;</w:t>
      </w:r>
    </w:p>
    <w:p w:rsidR="003B04A4" w:rsidRPr="00F04AD0" w:rsidRDefault="003B04A4" w:rsidP="00E4565B">
      <w:pPr>
        <w:pStyle w:val="Hanging12"/>
      </w:pPr>
      <w:r>
        <w:t>D.</w:t>
      </w:r>
      <w:r>
        <w:tab/>
        <w:t>whereas in his report of 30 March 2017 the UN Secretary-General made several recommendations aimed at ensuring adequate, predictable and sustainable funding for UNRWA</w:t>
      </w:r>
      <w:proofErr w:type="gramStart"/>
      <w:r>
        <w:t>;</w:t>
      </w:r>
      <w:proofErr w:type="gramEnd"/>
    </w:p>
    <w:p w:rsidR="003B04A4" w:rsidRPr="00F04AD0" w:rsidRDefault="003B04A4" w:rsidP="00E4565B">
      <w:pPr>
        <w:pStyle w:val="Hanging12"/>
      </w:pPr>
      <w:proofErr w:type="gramStart"/>
      <w:r>
        <w:lastRenderedPageBreak/>
        <w:t>1.</w:t>
      </w:r>
      <w:r>
        <w:tab/>
        <w:t xml:space="preserve">Remains firmly committed to supporting UNRWA in its provision of vital services for the wellbeing, protection and human development of Palestine refugees in the Gaza Strip, the West Bank, Jordan, Lebanon and Syria; applauds UNRWA for its extraordinary efforts, including </w:t>
      </w:r>
      <w:proofErr w:type="spellStart"/>
      <w:r>
        <w:t>inprotecting</w:t>
      </w:r>
      <w:proofErr w:type="spellEnd"/>
      <w:r>
        <w:t xml:space="preserve"> and supporting more than 400 000 Palestine refugees, and many others, in war-torn Syria; recalls that UNRWA was established in the spirit of solidarity with Palestine refugees in order to alleviate their suffering;</w:t>
      </w:r>
      <w:proofErr w:type="gramEnd"/>
    </w:p>
    <w:p w:rsidR="003B04A4" w:rsidRPr="00F04AD0" w:rsidRDefault="003B04A4" w:rsidP="00E4565B">
      <w:pPr>
        <w:pStyle w:val="Hanging12"/>
      </w:pPr>
      <w:r>
        <w:t>2.</w:t>
      </w:r>
      <w:r>
        <w:tab/>
        <w:t>Expresses its concern at UNRWA</w:t>
      </w:r>
      <w:r w:rsidR="00A52336">
        <w:t>’</w:t>
      </w:r>
      <w:r>
        <w:t xml:space="preserve">s funding crisis; urges all donors to honour their promises to the </w:t>
      </w:r>
      <w:r w:rsidR="003710D6">
        <w:t>A</w:t>
      </w:r>
      <w:r>
        <w:t>gency;</w:t>
      </w:r>
    </w:p>
    <w:p w:rsidR="003B04A4" w:rsidRPr="00F04AD0" w:rsidRDefault="003B04A4" w:rsidP="00E4565B">
      <w:pPr>
        <w:pStyle w:val="Hanging12"/>
      </w:pPr>
      <w:proofErr w:type="gramStart"/>
      <w:r>
        <w:t>3.</w:t>
      </w:r>
      <w:r>
        <w:tab/>
        <w:t xml:space="preserve">Notes that any unexpected reductions or delays in predicted donor disbursements to UNRWA can have damaging impacts on access to emergency food assistance for 1.7 million </w:t>
      </w:r>
      <w:proofErr w:type="gramEnd"/>
      <w:r w:rsidR="003710D6">
        <w:t xml:space="preserve">Palestine refugees </w:t>
      </w:r>
      <w:r>
        <w:t>and primary healthcare for 3 million, on access to education for more than 500 000 Palestinian children in 702 UNRWA schools, including almost 50 000 children in Syria, and on stability in the region;</w:t>
      </w:r>
    </w:p>
    <w:p w:rsidR="003B04A4" w:rsidRPr="00F04AD0" w:rsidRDefault="003B04A4" w:rsidP="00E4565B">
      <w:pPr>
        <w:pStyle w:val="Hanging12"/>
      </w:pPr>
      <w:r>
        <w:t>4.</w:t>
      </w:r>
      <w:r>
        <w:tab/>
        <w:t>Notes that the EU is committed to continue assisting UNRWA in securing financial resources to enable it to implement the mandate given by the UN General Assembly, to operate on a sustainable and cost-effective basis and to ensure the quality and level of services provided to Palestine refugees;</w:t>
      </w:r>
    </w:p>
    <w:p w:rsidR="003B04A4" w:rsidRPr="00F04AD0" w:rsidRDefault="003B04A4" w:rsidP="00E4565B">
      <w:pPr>
        <w:pStyle w:val="Hanging12"/>
      </w:pPr>
      <w:r>
        <w:t>5.</w:t>
      </w:r>
      <w:r>
        <w:tab/>
        <w:t xml:space="preserve">Welcomes the decisions made by the </w:t>
      </w:r>
      <w:r w:rsidR="00F1155A">
        <w:t>EU</w:t>
      </w:r>
      <w:r>
        <w:t xml:space="preserve"> and several of its Member States to fast-track funding to UNRWA and urges other donors to follow this example; urges the United States to reconsider its decision and to honour the payment of its entire scheduled contribution to the Agency; welcomes the contributions of member states of the Arab League to UNRWA, but calls on them to increase their commitment in order to close the funding gap; </w:t>
      </w:r>
    </w:p>
    <w:p w:rsidR="003B04A4" w:rsidRPr="00F04AD0" w:rsidRDefault="003B04A4" w:rsidP="00E4565B">
      <w:pPr>
        <w:pStyle w:val="Hanging12"/>
      </w:pPr>
      <w:r>
        <w:t>6.</w:t>
      </w:r>
      <w:r>
        <w:tab/>
        <w:t>Encourages the European Union and its Member States to mobilise additional funding for UNRWA in order to meet its short-term financial needs; stresses, however, that any long-term solution to the recurrent financial shortages of the Agency can only be achieved through a sustainable funding scheme in a global multilateral framework; urges the EU to play a leading role in the international community to establish such a mechanism; underlines the importance of the recommendations made by the UN Secretary-General in his report of 30 March 2017 in this regard;</w:t>
      </w:r>
    </w:p>
    <w:p w:rsidR="003B04A4" w:rsidRPr="00F04AD0" w:rsidRDefault="003B04A4" w:rsidP="00E4565B">
      <w:pPr>
        <w:pStyle w:val="Hanging12"/>
      </w:pPr>
      <w:r>
        <w:t>7.</w:t>
      </w:r>
      <w:r>
        <w:tab/>
        <w:t xml:space="preserve">Welcomes the fact that UNRWA </w:t>
      </w:r>
      <w:r w:rsidR="003710D6">
        <w:t xml:space="preserve">envisages </w:t>
      </w:r>
      <w:r>
        <w:t>sustain</w:t>
      </w:r>
      <w:r w:rsidR="003710D6">
        <w:t>ing</w:t>
      </w:r>
      <w:bookmarkStart w:id="0" w:name="_GoBack"/>
      <w:bookmarkEnd w:id="0"/>
      <w:r>
        <w:t xml:space="preserve"> internal measures aimed at containing costs and achieving further efficiency gains while pursuing other areas where efficiencies may be possible; urges the Agency to continue to improve its management structure and strategic planning towards enhanced transparency, accountability and </w:t>
      </w:r>
      <w:r>
        <w:lastRenderedPageBreak/>
        <w:t>internal oversight, to ensure timely and accurate programme and financial reporting to the EU, to ensure that UNRWA facilities are not misused, to investigate allegations of neutrality violations by its staff members and to take appropriate disciplinary action where appropriate; stresses the importance of respecting the neutrality of UNRWA installations in line with international humanitarian law and the UN diplomatic status of the Agency;</w:t>
      </w:r>
    </w:p>
    <w:p w:rsidR="003B04A4" w:rsidRPr="00F04AD0" w:rsidRDefault="003B04A4" w:rsidP="00E4565B">
      <w:pPr>
        <w:pStyle w:val="Hanging12"/>
      </w:pPr>
      <w:r>
        <w:t>8.</w:t>
      </w:r>
      <w:r>
        <w:tab/>
        <w:t>Reiterates that the EU</w:t>
      </w:r>
      <w:r w:rsidR="00A52336">
        <w:t>’</w:t>
      </w:r>
      <w:r>
        <w:t>s main objective is to achieve the two-state solution to the Israeli-Palestinian conflict on the basis of the 1967 borders, with Jerusalem as the capital of both states, with the secure State of Israel and an independent, democratic, contiguous and viable Palestinian State living side by side in peace and security, on the basis of the right of self-determination and full respect for international law;</w:t>
      </w:r>
    </w:p>
    <w:p w:rsidR="003B04A4" w:rsidRPr="00DC0F75" w:rsidRDefault="003B04A4" w:rsidP="00E4565B">
      <w:pPr>
        <w:pStyle w:val="Hanging12"/>
      </w:pPr>
      <w:r>
        <w:t>9.</w:t>
      </w:r>
      <w:r>
        <w:tab/>
        <w:t xml:space="preserve">Instructs its President to forward this resolution to the Council, the Commission, the Vice-President of the Commission / High Representative of the Union for Foreign Affairs and Security Policy, the EU Special Representative for the Middle East Peace Process, the parliaments and governments of the Member States, the Secretary-General of the United Nations, the Commissioner-General of UNRWA, the Quartet Envoy to the Middle East, and the Congress and </w:t>
      </w:r>
      <w:r w:rsidRPr="00F04AD0">
        <w:t xml:space="preserve">State </w:t>
      </w:r>
      <w:r>
        <w:t xml:space="preserve">Department of </w:t>
      </w:r>
      <w:r w:rsidRPr="00F04AD0">
        <w:t>the United States</w:t>
      </w:r>
      <w:r>
        <w:t>.</w:t>
      </w:r>
    </w:p>
    <w:p w:rsidR="009D33CF" w:rsidRPr="0091185A" w:rsidRDefault="009D33CF" w:rsidP="00E4565B">
      <w:pPr>
        <w:pStyle w:val="Hanging12"/>
      </w:pPr>
    </w:p>
    <w:sectPr w:rsidR="009D33CF" w:rsidRPr="0091185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5A" w:rsidRPr="0091185A" w:rsidRDefault="0091185A">
      <w:r w:rsidRPr="0091185A">
        <w:separator/>
      </w:r>
    </w:p>
  </w:endnote>
  <w:endnote w:type="continuationSeparator" w:id="0">
    <w:p w:rsidR="0091185A" w:rsidRPr="0091185A" w:rsidRDefault="0091185A">
      <w:r w:rsidRPr="009118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36" w:rsidRPr="0091185A" w:rsidRDefault="00626D73">
    <w:pPr>
      <w:widowControl/>
      <w:tabs>
        <w:tab w:val="left" w:pos="-1071"/>
        <w:tab w:val="left" w:pos="-680"/>
        <w:tab w:val="left" w:pos="6663"/>
        <w:tab w:val="left" w:pos="8763"/>
        <w:tab w:val="left" w:pos="9046"/>
      </w:tabs>
      <w:ind w:left="-284"/>
      <w:rPr>
        <w:sz w:val="22"/>
      </w:rPr>
    </w:pPr>
    <w:r w:rsidRPr="0091185A">
      <w:fldChar w:fldCharType="begin"/>
    </w:r>
    <w:r w:rsidRPr="0091185A">
      <w:instrText xml:space="preserve"> REF AllFooter </w:instrText>
    </w:r>
    <w:r w:rsidRPr="0091185A">
      <w:fldChar w:fldCharType="separate"/>
    </w:r>
    <w:r w:rsidR="00A52336" w:rsidRPr="0091185A">
      <w:rPr>
        <w:rStyle w:val="HideTWBExt"/>
        <w:noProof w:val="0"/>
        <w:sz w:val="22"/>
      </w:rPr>
      <w:t>&lt;</w:t>
    </w:r>
    <w:r w:rsidR="00A52336" w:rsidRPr="0091185A">
      <w:rPr>
        <w:rStyle w:val="HideTWBExt"/>
        <w:noProof w:val="0"/>
      </w:rPr>
      <w:t>PathFdR</w:t>
    </w:r>
    <w:r w:rsidR="00A52336" w:rsidRPr="0091185A">
      <w:rPr>
        <w:rStyle w:val="HideTWBExt"/>
        <w:noProof w:val="0"/>
        <w:sz w:val="22"/>
      </w:rPr>
      <w:t>&gt;</w:t>
    </w:r>
    <w:r w:rsidR="00A52336" w:rsidRPr="00607F2F">
      <w:rPr>
        <w:sz w:val="22"/>
      </w:rPr>
      <w:t>RC\1145487EN.docx</w:t>
    </w:r>
    <w:r w:rsidR="00A52336" w:rsidRPr="0091185A">
      <w:rPr>
        <w:rStyle w:val="HideTWBExt"/>
        <w:noProof w:val="0"/>
        <w:sz w:val="22"/>
      </w:rPr>
      <w:t>&lt;/</w:t>
    </w:r>
    <w:r w:rsidR="00A52336" w:rsidRPr="0091185A">
      <w:rPr>
        <w:rStyle w:val="HideTWBExt"/>
        <w:noProof w:val="0"/>
      </w:rPr>
      <w:t>PathFdR</w:t>
    </w:r>
    <w:r w:rsidR="00A52336" w:rsidRPr="0091185A">
      <w:rPr>
        <w:rStyle w:val="HideTWBExt"/>
        <w:noProof w:val="0"/>
        <w:sz w:val="22"/>
      </w:rPr>
      <w:t>&gt;</w:t>
    </w:r>
    <w:r w:rsidR="00A52336" w:rsidRPr="0091185A">
      <w:rPr>
        <w:sz w:val="22"/>
      </w:rPr>
      <w:t xml:space="preserve"> </w:t>
    </w:r>
    <w:r w:rsidR="00A52336" w:rsidRPr="0091185A">
      <w:rPr>
        <w:sz w:val="22"/>
      </w:rPr>
      <w:tab/>
      <w:t>PE</w:t>
    </w:r>
    <w:r w:rsidR="00A52336" w:rsidRPr="0091185A">
      <w:rPr>
        <w:rStyle w:val="HideTWBExt"/>
        <w:noProof w:val="0"/>
        <w:sz w:val="22"/>
      </w:rPr>
      <w:t>&lt;</w:t>
    </w:r>
    <w:r w:rsidR="00A52336" w:rsidRPr="0091185A">
      <w:rPr>
        <w:rStyle w:val="HideTWBExt"/>
        <w:noProof w:val="0"/>
      </w:rPr>
      <w:t>NoPE&gt;</w:t>
    </w:r>
    <w:r w:rsidR="00A52336">
      <w:rPr>
        <w:sz w:val="22"/>
      </w:rPr>
      <w:t>614.394</w:t>
    </w:r>
    <w:r w:rsidR="00A52336" w:rsidRPr="0091185A">
      <w:rPr>
        <w:rStyle w:val="HideTWBExt"/>
        <w:noProof w:val="0"/>
      </w:rPr>
      <w:t>&lt;/NoPE&gt;&lt;Version&gt;</w:t>
    </w:r>
    <w:r w:rsidR="00A52336" w:rsidRPr="0091185A">
      <w:rPr>
        <w:sz w:val="22"/>
      </w:rPr>
      <w:t>v</w:t>
    </w:r>
    <w:r w:rsidR="00A52336">
      <w:rPr>
        <w:sz w:val="22"/>
      </w:rPr>
      <w:t>01-00</w:t>
    </w:r>
    <w:r w:rsidR="00A52336" w:rsidRPr="0091185A">
      <w:rPr>
        <w:rStyle w:val="HideTWBExt"/>
        <w:noProof w:val="0"/>
      </w:rPr>
      <w:t>&lt;/Version</w:t>
    </w:r>
    <w:r w:rsidR="00A52336" w:rsidRPr="0091185A">
      <w:rPr>
        <w:rStyle w:val="HideTWBExt"/>
        <w:noProof w:val="0"/>
        <w:sz w:val="22"/>
      </w:rPr>
      <w:t>&gt;</w:t>
    </w:r>
    <w:r w:rsidR="00A52336" w:rsidRPr="0091185A">
      <w:t xml:space="preserve"> </w:t>
    </w:r>
    <w:r w:rsidR="00A52336" w:rsidRPr="0091185A">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91185A">
      <w:rPr>
        <w:sz w:val="22"/>
      </w:rPr>
      <w:tab/>
    </w:r>
    <w:r w:rsidRPr="00224C65">
      <w:rPr>
        <w:sz w:val="22"/>
      </w:rPr>
      <w:t>PE</w:t>
    </w:r>
    <w:r w:rsidRPr="00224C65">
      <w:rPr>
        <w:rStyle w:val="HideTWBExt"/>
        <w:noProof w:val="0"/>
        <w:sz w:val="22"/>
      </w:rPr>
      <w:t>&lt;</w:t>
    </w:r>
    <w:r w:rsidRPr="00224C65">
      <w:rPr>
        <w:rStyle w:val="HideTWBExt"/>
        <w:noProof w:val="0"/>
      </w:rPr>
      <w:t>NoPE&gt;</w:t>
    </w:r>
    <w:r w:rsidRPr="00224C65">
      <w:rPr>
        <w:sz w:val="22"/>
      </w:rPr>
      <w:t>614.395</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614.397</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614.398</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614.399</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3B04A4" w:rsidRDefault="00A52336">
    <w:pPr>
      <w:widowControl/>
      <w:tabs>
        <w:tab w:val="left" w:pos="-1071"/>
        <w:tab w:val="left" w:pos="-680"/>
        <w:tab w:val="left" w:pos="6663"/>
        <w:tab w:val="left" w:pos="8763"/>
        <w:tab w:val="left" w:pos="9046"/>
      </w:tabs>
      <w:ind w:left="-284"/>
      <w:rPr>
        <w:lang w:val="fr-FR"/>
      </w:rPr>
    </w:pPr>
    <w:r w:rsidRPr="00224C65">
      <w:rPr>
        <w:sz w:val="22"/>
      </w:rPr>
      <w:tab/>
    </w:r>
    <w:r w:rsidRPr="003B04A4">
      <w:rPr>
        <w:sz w:val="22"/>
        <w:lang w:val="fr-FR"/>
      </w:rPr>
      <w:t>PE</w:t>
    </w:r>
    <w:r w:rsidRPr="003B04A4">
      <w:rPr>
        <w:rStyle w:val="HideTWBExt"/>
        <w:noProof w:val="0"/>
        <w:sz w:val="22"/>
        <w:lang w:val="fr-FR"/>
      </w:rPr>
      <w:t>&lt;</w:t>
    </w:r>
    <w:r w:rsidRPr="003B04A4">
      <w:rPr>
        <w:rStyle w:val="HideTWBExt"/>
        <w:noProof w:val="0"/>
        <w:lang w:val="fr-FR"/>
      </w:rPr>
      <w:t>NoPE&gt;</w:t>
    </w:r>
    <w:r w:rsidRPr="003B04A4">
      <w:rPr>
        <w:sz w:val="22"/>
        <w:lang w:val="fr-FR"/>
      </w:rPr>
      <w:t>614.402</w:t>
    </w:r>
    <w:r w:rsidRPr="003B04A4">
      <w:rPr>
        <w:rStyle w:val="HideTWBExt"/>
        <w:noProof w:val="0"/>
        <w:lang w:val="fr-FR"/>
      </w:rPr>
      <w:t>&lt;/NoPE&gt;&lt;Version&gt;</w:t>
    </w:r>
    <w:r w:rsidRPr="003B04A4">
      <w:rPr>
        <w:sz w:val="22"/>
        <w:lang w:val="fr-FR"/>
      </w:rPr>
      <w:t>v01-00</w:t>
    </w:r>
    <w:r w:rsidRPr="003B04A4">
      <w:rPr>
        <w:rStyle w:val="HideTWBExt"/>
        <w:noProof w:val="0"/>
        <w:lang w:val="fr-FR"/>
      </w:rPr>
      <w:t>&lt;/Version</w:t>
    </w:r>
    <w:r w:rsidRPr="003B04A4">
      <w:rPr>
        <w:rStyle w:val="HideTWBExt"/>
        <w:noProof w:val="0"/>
        <w:sz w:val="22"/>
        <w:lang w:val="fr-FR"/>
      </w:rPr>
      <w:t>&gt;</w:t>
    </w:r>
    <w:r w:rsidRPr="003B04A4">
      <w:rPr>
        <w:lang w:val="fr-FR"/>
      </w:rPr>
      <w:t xml:space="preserve"> </w:t>
    </w:r>
    <w:r w:rsidRPr="003B04A4">
      <w:rPr>
        <w:sz w:val="22"/>
        <w:lang w:val="fr-FR"/>
      </w:rPr>
      <w:t>} RC1</w:t>
    </w:r>
  </w:p>
  <w:p w:rsidR="00626D73" w:rsidRPr="00607F2F" w:rsidRDefault="00626D73">
    <w:pPr>
      <w:widowControl/>
      <w:tabs>
        <w:tab w:val="left" w:pos="-1071"/>
        <w:tab w:val="left" w:pos="-680"/>
        <w:tab w:val="left" w:pos="6663"/>
        <w:tab w:val="left" w:pos="8763"/>
        <w:tab w:val="left" w:pos="9046"/>
      </w:tabs>
      <w:jc w:val="both"/>
      <w:rPr>
        <w:lang w:val="fr-FR"/>
      </w:rPr>
    </w:pPr>
    <w:r w:rsidRPr="0091185A">
      <w:fldChar w:fldCharType="end"/>
    </w:r>
  </w:p>
  <w:p w:rsidR="00626D73" w:rsidRPr="0091185A" w:rsidRDefault="00626D73">
    <w:pPr>
      <w:pStyle w:val="Footer2"/>
      <w:ind w:left="-426"/>
    </w:pPr>
    <w:r w:rsidRPr="0091185A">
      <w:fldChar w:fldCharType="begin"/>
    </w:r>
    <w:r w:rsidRPr="0091185A">
      <w:instrText xml:space="preserve"> DOCPROPERTY "&lt;Extension&gt;"</w:instrText>
    </w:r>
    <w:r w:rsidRPr="0091185A">
      <w:fldChar w:fldCharType="separate"/>
    </w:r>
    <w:r w:rsidR="00A52336">
      <w:t>EN</w:t>
    </w:r>
    <w:r w:rsidRPr="0091185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36" w:rsidRPr="0091185A" w:rsidRDefault="00626D73">
    <w:pPr>
      <w:widowControl/>
      <w:tabs>
        <w:tab w:val="left" w:pos="-1071"/>
        <w:tab w:val="left" w:pos="-680"/>
        <w:tab w:val="left" w:pos="6663"/>
        <w:tab w:val="left" w:pos="8763"/>
        <w:tab w:val="left" w:pos="9046"/>
      </w:tabs>
      <w:ind w:left="-284"/>
      <w:rPr>
        <w:sz w:val="22"/>
      </w:rPr>
    </w:pPr>
    <w:r w:rsidRPr="0091185A">
      <w:rPr>
        <w:rStyle w:val="HideTWBExt"/>
        <w:noProof w:val="0"/>
      </w:rPr>
      <w:fldChar w:fldCharType="begin"/>
    </w:r>
    <w:r w:rsidRPr="0091185A">
      <w:rPr>
        <w:rStyle w:val="HideTWBExt"/>
        <w:noProof w:val="0"/>
      </w:rPr>
      <w:instrText xml:space="preserve"> REF AllFooter </w:instrText>
    </w:r>
    <w:r w:rsidRPr="0091185A">
      <w:rPr>
        <w:rStyle w:val="HideTWBExt"/>
        <w:noProof w:val="0"/>
      </w:rPr>
      <w:fldChar w:fldCharType="separate"/>
    </w:r>
    <w:r w:rsidR="00A52336" w:rsidRPr="0091185A">
      <w:rPr>
        <w:rStyle w:val="HideTWBExt"/>
        <w:noProof w:val="0"/>
        <w:sz w:val="22"/>
      </w:rPr>
      <w:t>&lt;</w:t>
    </w:r>
    <w:r w:rsidR="00A52336" w:rsidRPr="0091185A">
      <w:rPr>
        <w:rStyle w:val="HideTWBExt"/>
        <w:noProof w:val="0"/>
      </w:rPr>
      <w:t>PathFdR</w:t>
    </w:r>
    <w:r w:rsidR="00A52336" w:rsidRPr="0091185A">
      <w:rPr>
        <w:rStyle w:val="HideTWBExt"/>
        <w:noProof w:val="0"/>
        <w:sz w:val="22"/>
      </w:rPr>
      <w:t>&gt;</w:t>
    </w:r>
    <w:r w:rsidR="00A52336" w:rsidRPr="00607F2F">
      <w:rPr>
        <w:sz w:val="22"/>
      </w:rPr>
      <w:t>RC\1145487EN.docx</w:t>
    </w:r>
    <w:r w:rsidR="00A52336" w:rsidRPr="0091185A">
      <w:rPr>
        <w:rStyle w:val="HideTWBExt"/>
        <w:noProof w:val="0"/>
        <w:sz w:val="22"/>
      </w:rPr>
      <w:t>&lt;/</w:t>
    </w:r>
    <w:r w:rsidR="00A52336" w:rsidRPr="0091185A">
      <w:rPr>
        <w:rStyle w:val="HideTWBExt"/>
        <w:noProof w:val="0"/>
      </w:rPr>
      <w:t>PathFdR</w:t>
    </w:r>
    <w:r w:rsidR="00A52336" w:rsidRPr="0091185A">
      <w:rPr>
        <w:rStyle w:val="HideTWBExt"/>
        <w:noProof w:val="0"/>
        <w:sz w:val="22"/>
      </w:rPr>
      <w:t>&gt;</w:t>
    </w:r>
    <w:r w:rsidR="00A52336" w:rsidRPr="0091185A">
      <w:rPr>
        <w:sz w:val="22"/>
      </w:rPr>
      <w:t xml:space="preserve"> </w:t>
    </w:r>
    <w:r w:rsidR="00A52336" w:rsidRPr="0091185A">
      <w:rPr>
        <w:sz w:val="22"/>
      </w:rPr>
      <w:tab/>
      <w:t>PE</w:t>
    </w:r>
    <w:r w:rsidR="00A52336" w:rsidRPr="0091185A">
      <w:rPr>
        <w:rStyle w:val="HideTWBExt"/>
        <w:noProof w:val="0"/>
        <w:sz w:val="22"/>
      </w:rPr>
      <w:t>&lt;</w:t>
    </w:r>
    <w:r w:rsidR="00A52336" w:rsidRPr="0091185A">
      <w:rPr>
        <w:rStyle w:val="HideTWBExt"/>
        <w:noProof w:val="0"/>
      </w:rPr>
      <w:t>NoPE&gt;</w:t>
    </w:r>
    <w:r w:rsidR="00A52336">
      <w:rPr>
        <w:sz w:val="22"/>
      </w:rPr>
      <w:t>614.394</w:t>
    </w:r>
    <w:r w:rsidR="00A52336" w:rsidRPr="0091185A">
      <w:rPr>
        <w:rStyle w:val="HideTWBExt"/>
        <w:noProof w:val="0"/>
      </w:rPr>
      <w:t>&lt;/NoPE&gt;&lt;Version&gt;</w:t>
    </w:r>
    <w:r w:rsidR="00A52336" w:rsidRPr="0091185A">
      <w:rPr>
        <w:sz w:val="22"/>
      </w:rPr>
      <w:t>v</w:t>
    </w:r>
    <w:r w:rsidR="00A52336">
      <w:rPr>
        <w:sz w:val="22"/>
      </w:rPr>
      <w:t>01-00</w:t>
    </w:r>
    <w:r w:rsidR="00A52336" w:rsidRPr="0091185A">
      <w:rPr>
        <w:rStyle w:val="HideTWBExt"/>
        <w:noProof w:val="0"/>
      </w:rPr>
      <w:t>&lt;/Version</w:t>
    </w:r>
    <w:r w:rsidR="00A52336" w:rsidRPr="0091185A">
      <w:rPr>
        <w:rStyle w:val="HideTWBExt"/>
        <w:noProof w:val="0"/>
        <w:sz w:val="22"/>
      </w:rPr>
      <w:t>&gt;</w:t>
    </w:r>
    <w:r w:rsidR="00A52336" w:rsidRPr="0091185A">
      <w:t xml:space="preserve"> </w:t>
    </w:r>
    <w:r w:rsidR="00A52336" w:rsidRPr="0091185A">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91185A">
      <w:rPr>
        <w:sz w:val="22"/>
      </w:rPr>
      <w:tab/>
    </w:r>
    <w:r w:rsidRPr="00224C65">
      <w:rPr>
        <w:sz w:val="22"/>
      </w:rPr>
      <w:t>PE</w:t>
    </w:r>
    <w:r w:rsidRPr="00224C65">
      <w:rPr>
        <w:rStyle w:val="HideTWBExt"/>
        <w:noProof w:val="0"/>
        <w:sz w:val="22"/>
      </w:rPr>
      <w:t>&lt;</w:t>
    </w:r>
    <w:r w:rsidRPr="00224C65">
      <w:rPr>
        <w:rStyle w:val="HideTWBExt"/>
        <w:noProof w:val="0"/>
      </w:rPr>
      <w:t>NoPE&gt;</w:t>
    </w:r>
    <w:r w:rsidRPr="00224C65">
      <w:rPr>
        <w:sz w:val="22"/>
      </w:rPr>
      <w:t>614.395</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614.397</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614.398</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224C65" w:rsidRDefault="00A52336"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614.399</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A52336" w:rsidRPr="003B04A4" w:rsidRDefault="00A52336">
    <w:pPr>
      <w:widowControl/>
      <w:tabs>
        <w:tab w:val="left" w:pos="-1071"/>
        <w:tab w:val="left" w:pos="-680"/>
        <w:tab w:val="left" w:pos="6663"/>
        <w:tab w:val="left" w:pos="8763"/>
        <w:tab w:val="left" w:pos="9046"/>
      </w:tabs>
      <w:ind w:left="-284"/>
      <w:rPr>
        <w:lang w:val="fr-FR"/>
      </w:rPr>
    </w:pPr>
    <w:r w:rsidRPr="00224C65">
      <w:rPr>
        <w:sz w:val="22"/>
      </w:rPr>
      <w:tab/>
    </w:r>
    <w:r w:rsidRPr="003B04A4">
      <w:rPr>
        <w:sz w:val="22"/>
        <w:lang w:val="fr-FR"/>
      </w:rPr>
      <w:t>PE</w:t>
    </w:r>
    <w:r w:rsidRPr="003B04A4">
      <w:rPr>
        <w:rStyle w:val="HideTWBExt"/>
        <w:noProof w:val="0"/>
        <w:sz w:val="22"/>
        <w:lang w:val="fr-FR"/>
      </w:rPr>
      <w:t>&lt;</w:t>
    </w:r>
    <w:r w:rsidRPr="003B04A4">
      <w:rPr>
        <w:rStyle w:val="HideTWBExt"/>
        <w:noProof w:val="0"/>
        <w:lang w:val="fr-FR"/>
      </w:rPr>
      <w:t>NoPE&gt;</w:t>
    </w:r>
    <w:r w:rsidRPr="003B04A4">
      <w:rPr>
        <w:sz w:val="22"/>
        <w:lang w:val="fr-FR"/>
      </w:rPr>
      <w:t>614.402</w:t>
    </w:r>
    <w:r w:rsidRPr="003B04A4">
      <w:rPr>
        <w:rStyle w:val="HideTWBExt"/>
        <w:noProof w:val="0"/>
        <w:lang w:val="fr-FR"/>
      </w:rPr>
      <w:t>&lt;/NoPE&gt;&lt;Version&gt;</w:t>
    </w:r>
    <w:r w:rsidRPr="003B04A4">
      <w:rPr>
        <w:sz w:val="22"/>
        <w:lang w:val="fr-FR"/>
      </w:rPr>
      <w:t>v01-00</w:t>
    </w:r>
    <w:r w:rsidRPr="003B04A4">
      <w:rPr>
        <w:rStyle w:val="HideTWBExt"/>
        <w:noProof w:val="0"/>
        <w:lang w:val="fr-FR"/>
      </w:rPr>
      <w:t>&lt;/Version</w:t>
    </w:r>
    <w:r w:rsidRPr="003B04A4">
      <w:rPr>
        <w:rStyle w:val="HideTWBExt"/>
        <w:noProof w:val="0"/>
        <w:sz w:val="22"/>
        <w:lang w:val="fr-FR"/>
      </w:rPr>
      <w:t>&gt;</w:t>
    </w:r>
    <w:r w:rsidRPr="003B04A4">
      <w:rPr>
        <w:lang w:val="fr-FR"/>
      </w:rPr>
      <w:t xml:space="preserve"> </w:t>
    </w:r>
    <w:r w:rsidRPr="003B04A4">
      <w:rPr>
        <w:sz w:val="22"/>
        <w:lang w:val="fr-FR"/>
      </w:rPr>
      <w:t>} RC1</w:t>
    </w:r>
  </w:p>
  <w:p w:rsidR="00626D73" w:rsidRPr="0091185A" w:rsidRDefault="00626D73">
    <w:pPr>
      <w:pStyle w:val="Footer2"/>
      <w:tabs>
        <w:tab w:val="clear" w:pos="9921"/>
        <w:tab w:val="right" w:pos="9781"/>
      </w:tabs>
    </w:pPr>
    <w:r w:rsidRPr="0091185A">
      <w:rPr>
        <w:rStyle w:val="HideTWBExt"/>
        <w:noProof w:val="0"/>
      </w:rPr>
      <w:fldChar w:fldCharType="end"/>
    </w:r>
    <w:r w:rsidRPr="00607F2F">
      <w:rPr>
        <w:lang w:val="fr-FR"/>
      </w:rPr>
      <w:tab/>
    </w:r>
    <w:r w:rsidR="00F1155A">
      <w:fldChar w:fldCharType="begin"/>
    </w:r>
    <w:r w:rsidR="00F1155A">
      <w:instrText xml:space="preserve"> DOCPROPERTY "&lt;Extension&gt;" </w:instrText>
    </w:r>
    <w:r w:rsidR="00F1155A">
      <w:fldChar w:fldCharType="separate"/>
    </w:r>
    <w:r w:rsidR="00A52336">
      <w:t>EN</w:t>
    </w:r>
    <w:r w:rsidR="00F115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91185A"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91185A">
      <w:rPr>
        <w:rStyle w:val="HideTWBExt"/>
        <w:noProof w:val="0"/>
        <w:sz w:val="22"/>
      </w:rPr>
      <w:t>&lt;</w:t>
    </w:r>
    <w:r w:rsidRPr="0091185A">
      <w:rPr>
        <w:rStyle w:val="HideTWBExt"/>
        <w:noProof w:val="0"/>
      </w:rPr>
      <w:t>PathFdR</w:t>
    </w:r>
    <w:r w:rsidRPr="0091185A">
      <w:rPr>
        <w:rStyle w:val="HideTWBExt"/>
        <w:noProof w:val="0"/>
        <w:sz w:val="22"/>
      </w:rPr>
      <w:t>&gt;</w:t>
    </w:r>
    <w:r w:rsidR="00607F2F" w:rsidRPr="00607F2F">
      <w:rPr>
        <w:sz w:val="22"/>
      </w:rPr>
      <w:t>RC\1145487EN.docx</w:t>
    </w:r>
    <w:r w:rsidRPr="0091185A">
      <w:rPr>
        <w:rStyle w:val="HideTWBExt"/>
        <w:noProof w:val="0"/>
        <w:sz w:val="22"/>
      </w:rPr>
      <w:t>&lt;/</w:t>
    </w:r>
    <w:r w:rsidRPr="0091185A">
      <w:rPr>
        <w:rStyle w:val="HideTWBExt"/>
        <w:noProof w:val="0"/>
      </w:rPr>
      <w:t>PathFdR</w:t>
    </w:r>
    <w:r w:rsidRPr="0091185A">
      <w:rPr>
        <w:rStyle w:val="HideTWBExt"/>
        <w:noProof w:val="0"/>
        <w:sz w:val="22"/>
      </w:rPr>
      <w:t>&gt;</w:t>
    </w:r>
    <w:bookmarkEnd w:id="1"/>
    <w:r w:rsidRPr="0091185A">
      <w:rPr>
        <w:sz w:val="22"/>
      </w:rPr>
      <w:t xml:space="preserve"> </w:t>
    </w:r>
    <w:r w:rsidRPr="0091185A">
      <w:rPr>
        <w:sz w:val="22"/>
      </w:rPr>
      <w:tab/>
    </w:r>
    <w:bookmarkStart w:id="3" w:name="OutsideFooter1"/>
    <w:r w:rsidRPr="0091185A">
      <w:rPr>
        <w:sz w:val="22"/>
      </w:rPr>
      <w:t>PE</w:t>
    </w:r>
    <w:r w:rsidRPr="0091185A">
      <w:rPr>
        <w:rStyle w:val="HideTWBExt"/>
        <w:noProof w:val="0"/>
        <w:sz w:val="22"/>
      </w:rPr>
      <w:t>&lt;</w:t>
    </w:r>
    <w:r w:rsidRPr="0091185A">
      <w:rPr>
        <w:rStyle w:val="HideTWBExt"/>
        <w:noProof w:val="0"/>
      </w:rPr>
      <w:t>NoPE&gt;</w:t>
    </w:r>
    <w:r w:rsidR="00607F2F">
      <w:rPr>
        <w:sz w:val="22"/>
      </w:rPr>
      <w:t>614.394</w:t>
    </w:r>
    <w:r w:rsidRPr="0091185A">
      <w:rPr>
        <w:rStyle w:val="HideTWBExt"/>
        <w:noProof w:val="0"/>
      </w:rPr>
      <w:t>&lt;/NoPE&gt;&lt;Version&gt;</w:t>
    </w:r>
    <w:r w:rsidR="0091185A" w:rsidRPr="0091185A">
      <w:rPr>
        <w:sz w:val="22"/>
      </w:rPr>
      <w:t>v</w:t>
    </w:r>
    <w:r w:rsidR="00607F2F">
      <w:rPr>
        <w:sz w:val="22"/>
      </w:rPr>
      <w:t>01-00</w:t>
    </w:r>
    <w:r w:rsidRPr="0091185A">
      <w:rPr>
        <w:rStyle w:val="HideTWBExt"/>
        <w:noProof w:val="0"/>
      </w:rPr>
      <w:t>&lt;/Version</w:t>
    </w:r>
    <w:r w:rsidRPr="0091185A">
      <w:rPr>
        <w:rStyle w:val="HideTWBExt"/>
        <w:noProof w:val="0"/>
        <w:sz w:val="22"/>
      </w:rPr>
      <w:t>&gt;</w:t>
    </w:r>
    <w:r w:rsidRPr="0091185A">
      <w:t xml:space="preserve"> </w:t>
    </w:r>
    <w:r w:rsidRPr="0091185A">
      <w:rPr>
        <w:sz w:val="22"/>
      </w:rPr>
      <w:t>}</w:t>
    </w:r>
  </w:p>
  <w:p w:rsidR="00607F2F" w:rsidRPr="00224C65" w:rsidRDefault="00607F2F" w:rsidP="00607F2F">
    <w:pPr>
      <w:widowControl/>
      <w:tabs>
        <w:tab w:val="left" w:pos="-1071"/>
        <w:tab w:val="left" w:pos="-680"/>
        <w:tab w:val="left" w:pos="6663"/>
        <w:tab w:val="left" w:pos="8763"/>
        <w:tab w:val="left" w:pos="9046"/>
      </w:tabs>
      <w:ind w:left="-284"/>
      <w:rPr>
        <w:sz w:val="22"/>
      </w:rPr>
    </w:pPr>
    <w:r w:rsidRPr="0091185A">
      <w:rPr>
        <w:sz w:val="22"/>
      </w:rPr>
      <w:tab/>
    </w:r>
    <w:r w:rsidRPr="00224C65">
      <w:rPr>
        <w:sz w:val="22"/>
      </w:rPr>
      <w:t>PE</w:t>
    </w:r>
    <w:r w:rsidRPr="00224C65">
      <w:rPr>
        <w:rStyle w:val="HideTWBExt"/>
        <w:noProof w:val="0"/>
        <w:sz w:val="22"/>
      </w:rPr>
      <w:t>&lt;</w:t>
    </w:r>
    <w:r w:rsidRPr="00224C65">
      <w:rPr>
        <w:rStyle w:val="HideTWBExt"/>
        <w:noProof w:val="0"/>
      </w:rPr>
      <w:t>NoPE&gt;</w:t>
    </w:r>
    <w:r w:rsidRPr="00224C65">
      <w:rPr>
        <w:sz w:val="22"/>
      </w:rPr>
      <w:t>614.395</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607F2F" w:rsidRPr="00224C65" w:rsidRDefault="00607F2F"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614.397</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607F2F" w:rsidRPr="00224C65" w:rsidRDefault="00607F2F"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614.398</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607F2F" w:rsidRPr="00224C65" w:rsidRDefault="00607F2F" w:rsidP="00607F2F">
    <w:pPr>
      <w:widowControl/>
      <w:tabs>
        <w:tab w:val="left" w:pos="-1071"/>
        <w:tab w:val="left" w:pos="-680"/>
        <w:tab w:val="left" w:pos="6663"/>
        <w:tab w:val="left" w:pos="8763"/>
        <w:tab w:val="left" w:pos="9046"/>
      </w:tabs>
      <w:ind w:left="-284"/>
      <w:rPr>
        <w:sz w:val="22"/>
      </w:rPr>
    </w:pPr>
    <w:r w:rsidRPr="00224C65">
      <w:rPr>
        <w:sz w:val="22"/>
      </w:rPr>
      <w:tab/>
      <w:t>PE</w:t>
    </w:r>
    <w:r w:rsidRPr="00224C65">
      <w:rPr>
        <w:rStyle w:val="HideTWBExt"/>
        <w:noProof w:val="0"/>
        <w:sz w:val="22"/>
      </w:rPr>
      <w:t>&lt;</w:t>
    </w:r>
    <w:r w:rsidRPr="00224C65">
      <w:rPr>
        <w:rStyle w:val="HideTWBExt"/>
        <w:noProof w:val="0"/>
      </w:rPr>
      <w:t>NoPE&gt;</w:t>
    </w:r>
    <w:r w:rsidRPr="00224C65">
      <w:rPr>
        <w:sz w:val="22"/>
      </w:rPr>
      <w:t>614.399</w:t>
    </w:r>
    <w:r w:rsidRPr="00224C65">
      <w:rPr>
        <w:rStyle w:val="HideTWBExt"/>
        <w:noProof w:val="0"/>
      </w:rPr>
      <w:t>&lt;/NoPE&gt;&lt;Version&gt;</w:t>
    </w:r>
    <w:r w:rsidRPr="00224C65">
      <w:rPr>
        <w:sz w:val="22"/>
      </w:rPr>
      <w:t>v01-00</w:t>
    </w:r>
    <w:r w:rsidRPr="00224C65">
      <w:rPr>
        <w:rStyle w:val="HideTWBExt"/>
        <w:noProof w:val="0"/>
      </w:rPr>
      <w:t>&lt;/Version</w:t>
    </w:r>
    <w:r w:rsidRPr="00224C65">
      <w:rPr>
        <w:rStyle w:val="HideTWBExt"/>
        <w:noProof w:val="0"/>
        <w:sz w:val="22"/>
      </w:rPr>
      <w:t>&gt;</w:t>
    </w:r>
    <w:r w:rsidRPr="00224C65">
      <w:t xml:space="preserve"> </w:t>
    </w:r>
    <w:r w:rsidRPr="00224C65">
      <w:rPr>
        <w:sz w:val="22"/>
      </w:rPr>
      <w:t>}</w:t>
    </w:r>
  </w:p>
  <w:p w:rsidR="00626D73" w:rsidRPr="003B04A4" w:rsidRDefault="00626D73">
    <w:pPr>
      <w:widowControl/>
      <w:tabs>
        <w:tab w:val="left" w:pos="-1071"/>
        <w:tab w:val="left" w:pos="-680"/>
        <w:tab w:val="left" w:pos="6663"/>
        <w:tab w:val="left" w:pos="8763"/>
        <w:tab w:val="left" w:pos="9046"/>
      </w:tabs>
      <w:ind w:left="-284"/>
      <w:rPr>
        <w:lang w:val="fr-FR"/>
      </w:rPr>
    </w:pPr>
    <w:r w:rsidRPr="00224C65">
      <w:rPr>
        <w:sz w:val="22"/>
      </w:rPr>
      <w:tab/>
    </w:r>
    <w:r w:rsidRPr="003B04A4">
      <w:rPr>
        <w:sz w:val="22"/>
        <w:lang w:val="fr-FR"/>
      </w:rPr>
      <w:t>PE</w:t>
    </w:r>
    <w:r w:rsidRPr="003B04A4">
      <w:rPr>
        <w:rStyle w:val="HideTWBExt"/>
        <w:noProof w:val="0"/>
        <w:sz w:val="22"/>
        <w:lang w:val="fr-FR"/>
      </w:rPr>
      <w:t>&lt;</w:t>
    </w:r>
    <w:r w:rsidRPr="003B04A4">
      <w:rPr>
        <w:rStyle w:val="HideTWBExt"/>
        <w:noProof w:val="0"/>
        <w:lang w:val="fr-FR"/>
      </w:rPr>
      <w:t>NoPE&gt;</w:t>
    </w:r>
    <w:r w:rsidR="00607F2F" w:rsidRPr="003B04A4">
      <w:rPr>
        <w:sz w:val="22"/>
        <w:lang w:val="fr-FR"/>
      </w:rPr>
      <w:t>614.402</w:t>
    </w:r>
    <w:r w:rsidRPr="003B04A4">
      <w:rPr>
        <w:rStyle w:val="HideTWBExt"/>
        <w:noProof w:val="0"/>
        <w:lang w:val="fr-FR"/>
      </w:rPr>
      <w:t>&lt;/NoPE&gt;&lt;Version&gt;</w:t>
    </w:r>
    <w:r w:rsidR="0091185A" w:rsidRPr="003B04A4">
      <w:rPr>
        <w:sz w:val="22"/>
        <w:lang w:val="fr-FR"/>
      </w:rPr>
      <w:t>v</w:t>
    </w:r>
    <w:r w:rsidR="00607F2F" w:rsidRPr="003B04A4">
      <w:rPr>
        <w:sz w:val="22"/>
        <w:lang w:val="fr-FR"/>
      </w:rPr>
      <w:t>01-00</w:t>
    </w:r>
    <w:r w:rsidRPr="003B04A4">
      <w:rPr>
        <w:rStyle w:val="HideTWBExt"/>
        <w:noProof w:val="0"/>
        <w:lang w:val="fr-FR"/>
      </w:rPr>
      <w:t>&lt;/Version</w:t>
    </w:r>
    <w:r w:rsidRPr="003B04A4">
      <w:rPr>
        <w:rStyle w:val="HideTWBExt"/>
        <w:noProof w:val="0"/>
        <w:sz w:val="22"/>
        <w:lang w:val="fr-FR"/>
      </w:rPr>
      <w:t>&gt;</w:t>
    </w:r>
    <w:r w:rsidRPr="003B04A4">
      <w:rPr>
        <w:lang w:val="fr-FR"/>
      </w:rPr>
      <w:t xml:space="preserve"> </w:t>
    </w:r>
    <w:r w:rsidRPr="003B04A4">
      <w:rPr>
        <w:sz w:val="22"/>
        <w:lang w:val="fr-FR"/>
      </w:rPr>
      <w:t>} RC1</w:t>
    </w:r>
  </w:p>
  <w:bookmarkEnd w:id="2"/>
  <w:bookmarkEnd w:id="3"/>
  <w:p w:rsidR="00626D73" w:rsidRPr="0091185A" w:rsidRDefault="00626D73" w:rsidP="003441B1">
    <w:pPr>
      <w:pStyle w:val="Footer2"/>
      <w:tabs>
        <w:tab w:val="center" w:pos="4536"/>
      </w:tabs>
    </w:pPr>
    <w:r w:rsidRPr="0091185A">
      <w:fldChar w:fldCharType="begin"/>
    </w:r>
    <w:r w:rsidRPr="0091185A">
      <w:instrText xml:space="preserve"> DOCPROPERTY "&lt;Extension&gt;" </w:instrText>
    </w:r>
    <w:r w:rsidRPr="0091185A">
      <w:fldChar w:fldCharType="separate"/>
    </w:r>
    <w:r w:rsidR="00A52336">
      <w:t>EN</w:t>
    </w:r>
    <w:r w:rsidRPr="0091185A">
      <w:fldChar w:fldCharType="end"/>
    </w:r>
    <w:r w:rsidRPr="0091185A">
      <w:rPr>
        <w:color w:val="C0C0C0"/>
      </w:rPr>
      <w:tab/>
    </w:r>
    <w:r w:rsidR="00607F2F">
      <w:rPr>
        <w:b w:val="0"/>
        <w:i/>
        <w:color w:val="C0C0C0"/>
        <w:sz w:val="22"/>
        <w:szCs w:val="22"/>
      </w:rPr>
      <w:t>United in diversity</w:t>
    </w:r>
    <w:r w:rsidRPr="0091185A">
      <w:rPr>
        <w:color w:val="C0C0C0"/>
      </w:rPr>
      <w:tab/>
    </w:r>
    <w:r w:rsidR="00F1155A">
      <w:fldChar w:fldCharType="begin"/>
    </w:r>
    <w:r w:rsidR="00F1155A">
      <w:instrText xml:space="preserve"> DOCPROPERTY "&lt;Extension&gt;" </w:instrText>
    </w:r>
    <w:r w:rsidR="00F1155A">
      <w:fldChar w:fldCharType="separate"/>
    </w:r>
    <w:r w:rsidR="00A52336">
      <w:t>EN</w:t>
    </w:r>
    <w:r w:rsidR="00F115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5A" w:rsidRPr="0091185A" w:rsidRDefault="0091185A">
      <w:r w:rsidRPr="0091185A">
        <w:separator/>
      </w:r>
    </w:p>
  </w:footnote>
  <w:footnote w:type="continuationSeparator" w:id="0">
    <w:p w:rsidR="0091185A" w:rsidRPr="0091185A" w:rsidRDefault="0091185A">
      <w:r w:rsidRPr="009118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36" w:rsidRDefault="00A5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36" w:rsidRDefault="00A52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36" w:rsidRDefault="00A52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5"/>
    <w:docVar w:name="NVAR2" w:val="6"/>
    <w:docVar w:name="RULEMNU" w:val=" 1"/>
    <w:docVar w:name="strDocTypeID" w:val="RC"/>
    <w:docVar w:name="strSubDir" w:val="1145"/>
    <w:docVar w:name="TXTLANGUE" w:val="EN"/>
    <w:docVar w:name="TXTLANGUEMIN" w:val="en"/>
    <w:docVar w:name="TXTNRB1" w:val="0085/2018"/>
    <w:docVar w:name="TXTNRB2" w:val="0086/2018"/>
    <w:docVar w:name="TXTNRB3" w:val="0088/2018"/>
    <w:docVar w:name="TXTNRB4" w:val="0089/2018"/>
    <w:docVar w:name="TXTNRB5" w:val="0090/2018"/>
    <w:docVar w:name="TXTNRB6" w:val="0093/2018"/>
    <w:docVar w:name="TXTNRPE1" w:val="614.394"/>
    <w:docVar w:name="TXTNRPE2" w:val="614.395"/>
    <w:docVar w:name="TXTNRPE3" w:val="614.397"/>
    <w:docVar w:name="TXTNRPE4" w:val="614.398"/>
    <w:docVar w:name="TXTNRPE5" w:val="614.399"/>
    <w:docVar w:name="TXTNRPE6" w:val="614.402"/>
    <w:docVar w:name="TXTNRRSP" w:val="2018/2553"/>
    <w:docVar w:name="TXTROUTE" w:val="RC\1145487EN.docx"/>
    <w:docVar w:name="TXTTITLE" w:val="the situation of UNRWA"/>
    <w:docVar w:name="TXTVERSION1" w:val="01-00"/>
    <w:docVar w:name="TXTVERSION2" w:val="01-00"/>
    <w:docVar w:name="TXTVERSION3" w:val="01-00"/>
    <w:docVar w:name="TXTVERSION4" w:val="01-00"/>
    <w:docVar w:name="TXTVERSION5" w:val="01-00"/>
    <w:docVar w:name="TXTVERSION6" w:val="01-00"/>
  </w:docVars>
  <w:rsids>
    <w:rsidRoot w:val="0091185A"/>
    <w:rsid w:val="00005903"/>
    <w:rsid w:val="0001465F"/>
    <w:rsid w:val="0008467F"/>
    <w:rsid w:val="00177088"/>
    <w:rsid w:val="001816C4"/>
    <w:rsid w:val="00184B3E"/>
    <w:rsid w:val="00224C65"/>
    <w:rsid w:val="002439D4"/>
    <w:rsid w:val="00250797"/>
    <w:rsid w:val="002C4BC5"/>
    <w:rsid w:val="002E2D08"/>
    <w:rsid w:val="00321B0A"/>
    <w:rsid w:val="00335275"/>
    <w:rsid w:val="003441B1"/>
    <w:rsid w:val="003710D6"/>
    <w:rsid w:val="003957F5"/>
    <w:rsid w:val="003B03C1"/>
    <w:rsid w:val="003B04A4"/>
    <w:rsid w:val="004D5831"/>
    <w:rsid w:val="004E13DA"/>
    <w:rsid w:val="004F500E"/>
    <w:rsid w:val="00503B5F"/>
    <w:rsid w:val="005B55C9"/>
    <w:rsid w:val="00606E35"/>
    <w:rsid w:val="00607F2F"/>
    <w:rsid w:val="00626D73"/>
    <w:rsid w:val="00676484"/>
    <w:rsid w:val="00711603"/>
    <w:rsid w:val="00752855"/>
    <w:rsid w:val="007C394B"/>
    <w:rsid w:val="0082552A"/>
    <w:rsid w:val="00905E62"/>
    <w:rsid w:val="0091185A"/>
    <w:rsid w:val="009219DC"/>
    <w:rsid w:val="00967F3D"/>
    <w:rsid w:val="009D33CF"/>
    <w:rsid w:val="00A30C33"/>
    <w:rsid w:val="00A52336"/>
    <w:rsid w:val="00A72F04"/>
    <w:rsid w:val="00AB70B2"/>
    <w:rsid w:val="00B47668"/>
    <w:rsid w:val="00B602BC"/>
    <w:rsid w:val="00CA2FB9"/>
    <w:rsid w:val="00CB6B3F"/>
    <w:rsid w:val="00D57C45"/>
    <w:rsid w:val="00E214EE"/>
    <w:rsid w:val="00E4565B"/>
    <w:rsid w:val="00EC024A"/>
    <w:rsid w:val="00F1155A"/>
    <w:rsid w:val="00F63CE9"/>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2B274A"/>
  <w15:chartTrackingRefBased/>
  <w15:docId w15:val="{A3B22E20-D317-4E2B-A1D3-8D94985A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606E35"/>
    <w:rPr>
      <w:rFonts w:ascii="Segoe UI" w:hAnsi="Segoe UI" w:cs="Segoe UI"/>
      <w:sz w:val="18"/>
      <w:szCs w:val="18"/>
    </w:rPr>
  </w:style>
  <w:style w:type="character" w:customStyle="1" w:styleId="BalloonTextChar">
    <w:name w:val="Balloon Text Char"/>
    <w:basedOn w:val="DefaultParagraphFont"/>
    <w:link w:val="BalloonText"/>
    <w:rsid w:val="00606E35"/>
    <w:rPr>
      <w:rFonts w:ascii="Segoe UI" w:hAnsi="Segoe UI" w:cs="Segoe UI"/>
      <w:sz w:val="18"/>
      <w:szCs w:val="18"/>
    </w:rPr>
  </w:style>
  <w:style w:type="paragraph" w:customStyle="1" w:styleId="Normal12Hanging">
    <w:name w:val="Normal12Hanging"/>
    <w:basedOn w:val="Normal12"/>
    <w:rsid w:val="003B04A4"/>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7466</Characters>
  <Application>Microsoft Office Word</Application>
  <DocSecurity>0</DocSecurity>
  <Lines>149</Lines>
  <Paragraphs>70</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BYRNE Patrick</cp:lastModifiedBy>
  <cp:revision>2</cp:revision>
  <cp:lastPrinted>2018-02-07T13:38:00Z</cp:lastPrinted>
  <dcterms:created xsi:type="dcterms:W3CDTF">2018-02-07T17:59:00Z</dcterms:created>
  <dcterms:modified xsi:type="dcterms:W3CDTF">2018-02-07T17:59:00Z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1145487</vt:lpwstr>
  </property>
  <property fmtid="{D5CDD505-2E9C-101B-9397-08002B2CF9AE}" pid="6" name="&lt;Type&gt;">
    <vt:lpwstr>RC</vt:lpwstr>
  </property>
  <property fmtid="{D5CDD505-2E9C-101B-9397-08002B2CF9AE}" pid="7" name="&lt;ModelCod&gt;">
    <vt:lpwstr>\\eiciBRUpr1\pdocep$\DocEP\DOCS\General\RC\RC.dot(13/10/2017 10:48:36)</vt:lpwstr>
  </property>
  <property fmtid="{D5CDD505-2E9C-101B-9397-08002B2CF9AE}" pid="8" name="&lt;ModelTra&gt;">
    <vt:lpwstr>\\eiciBRUpr1\pdocep$\DocEP\TRANSFIL\EN\RC.EN(13/10/2017 10:43:47)</vt:lpwstr>
  </property>
  <property fmtid="{D5CDD505-2E9C-101B-9397-08002B2CF9AE}" pid="9" name="&lt;Model&gt;">
    <vt:lpwstr>RC</vt:lpwstr>
  </property>
  <property fmtid="{D5CDD505-2E9C-101B-9397-08002B2CF9AE}" pid="10" name="FooterPath">
    <vt:lpwstr>RC\1145487EN.docx</vt:lpwstr>
  </property>
  <property fmtid="{D5CDD505-2E9C-101B-9397-08002B2CF9AE}" pid="11" name="Bookout">
    <vt:lpwstr>OK - 2018/02/07 15:58</vt:lpwstr>
  </property>
  <property fmtid="{D5CDD505-2E9C-101B-9397-08002B2CF9AE}" pid="12" name="SubscribeElise">
    <vt:lpwstr/>
  </property>
</Properties>
</file>