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543433" w14:paraId="1F7CEE42" w14:textId="77777777" w:rsidTr="004F500E">
        <w:trPr>
          <w:trHeight w:hRule="exact" w:val="1418"/>
        </w:trPr>
        <w:tc>
          <w:tcPr>
            <w:tcW w:w="6804" w:type="dxa"/>
            <w:shd w:val="clear" w:color="auto" w:fill="auto"/>
            <w:vAlign w:val="center"/>
          </w:tcPr>
          <w:p w14:paraId="60E7E709" w14:textId="77777777" w:rsidR="00CA2FB9" w:rsidRPr="00543433" w:rsidRDefault="00543433" w:rsidP="004D5831">
            <w:pPr>
              <w:pStyle w:val="EPName"/>
              <w:rPr>
                <w:lang w:val="en-GB"/>
              </w:rPr>
            </w:pPr>
            <w:r w:rsidRPr="00543433">
              <w:rPr>
                <w:lang w:val="en-GB"/>
              </w:rPr>
              <w:t>European Parliament</w:t>
            </w:r>
          </w:p>
          <w:p w14:paraId="3B972EF8" w14:textId="77777777" w:rsidR="00CA2FB9" w:rsidRPr="00336C0A" w:rsidRDefault="00336C0A" w:rsidP="00336C0A">
            <w:pPr>
              <w:pStyle w:val="EPTerm"/>
              <w:rPr>
                <w:rStyle w:val="HideTWBExt"/>
                <w:noProof w:val="0"/>
                <w:vanish w:val="0"/>
                <w:color w:val="auto"/>
                <w:lang w:val="en-GB"/>
              </w:rPr>
            </w:pPr>
            <w:r>
              <w:t>2014-2019</w:t>
            </w:r>
          </w:p>
        </w:tc>
        <w:tc>
          <w:tcPr>
            <w:tcW w:w="2268" w:type="dxa"/>
            <w:shd w:val="clear" w:color="auto" w:fill="auto"/>
          </w:tcPr>
          <w:p w14:paraId="31F1ACBF" w14:textId="77777777" w:rsidR="00CA2FB9" w:rsidRPr="00543433" w:rsidRDefault="005B0ED3" w:rsidP="004D5831">
            <w:pPr>
              <w:pStyle w:val="EPLogo"/>
            </w:pPr>
            <w:r>
              <w:pict w14:anchorId="64B8F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16CD2FC6" w14:textId="77777777" w:rsidR="00FF0919" w:rsidRPr="00543433" w:rsidRDefault="00FF0919" w:rsidP="00FF0919">
      <w:pPr>
        <w:pStyle w:val="LineTop"/>
        <w:rPr>
          <w:lang w:val="en-GB"/>
        </w:rPr>
      </w:pPr>
    </w:p>
    <w:p w14:paraId="58AE7194" w14:textId="77777777" w:rsidR="00FF0919" w:rsidRPr="00543433" w:rsidRDefault="00543433" w:rsidP="00FF0919">
      <w:pPr>
        <w:pStyle w:val="ZSessionDoc"/>
      </w:pPr>
      <w:r w:rsidRPr="00543433">
        <w:t>Plenary sitting</w:t>
      </w:r>
    </w:p>
    <w:p w14:paraId="374832E0" w14:textId="77777777" w:rsidR="00752855" w:rsidRPr="00543433" w:rsidRDefault="00752855" w:rsidP="00752855">
      <w:pPr>
        <w:pStyle w:val="LineBottom"/>
      </w:pPr>
    </w:p>
    <w:p w14:paraId="67D49BBB" w14:textId="77777777" w:rsidR="009D33CF" w:rsidRPr="00543433" w:rsidRDefault="00335275" w:rsidP="00D57C45">
      <w:pPr>
        <w:pStyle w:val="RefDocRC"/>
      </w:pPr>
      <w:r w:rsidRPr="00543433">
        <w:rPr>
          <w:rStyle w:val="HideTWBExt"/>
          <w:b w:val="0"/>
          <w:noProof w:val="0"/>
        </w:rPr>
        <w:t>&lt;RepeatBlock-NoDocSe&gt;</w:t>
      </w:r>
      <w:r w:rsidR="009D33CF" w:rsidRPr="00543433">
        <w:tab/>
      </w:r>
      <w:r w:rsidR="009D33CF" w:rsidRPr="00543433">
        <w:rPr>
          <w:rStyle w:val="HideTWBExt"/>
          <w:b w:val="0"/>
          <w:noProof w:val="0"/>
        </w:rPr>
        <w:t>&lt;NoDocSe&gt;</w:t>
      </w:r>
      <w:r w:rsidR="00336C0A">
        <w:t>B8</w:t>
      </w:r>
      <w:r w:rsidR="00336C0A">
        <w:noBreakHyphen/>
        <w:t>0484/2018</w:t>
      </w:r>
      <w:r w:rsidR="009D33CF" w:rsidRPr="00543433">
        <w:rPr>
          <w:rStyle w:val="HideTWBExt"/>
          <w:b w:val="0"/>
          <w:noProof w:val="0"/>
        </w:rPr>
        <w:t>&lt;/NoDocSe&gt;</w:t>
      </w:r>
      <w:r w:rsidR="009D33CF" w:rsidRPr="00543433">
        <w:t xml:space="preserve"> } </w:t>
      </w:r>
    </w:p>
    <w:p w14:paraId="62674566" w14:textId="77777777" w:rsidR="00336C0A" w:rsidRPr="00543433" w:rsidRDefault="00336C0A" w:rsidP="00336C0A">
      <w:pPr>
        <w:pStyle w:val="RefDocRC"/>
      </w:pPr>
      <w:r w:rsidRPr="00543433">
        <w:tab/>
      </w:r>
      <w:r w:rsidRPr="00543433">
        <w:rPr>
          <w:rStyle w:val="HideTWBExt"/>
          <w:b w:val="0"/>
          <w:noProof w:val="0"/>
        </w:rPr>
        <w:t>&lt;NoDocSe&gt;</w:t>
      </w:r>
      <w:r>
        <w:t>B8</w:t>
      </w:r>
      <w:r>
        <w:noBreakHyphen/>
        <w:t>0485/2018</w:t>
      </w:r>
      <w:r w:rsidRPr="00543433">
        <w:rPr>
          <w:rStyle w:val="HideTWBExt"/>
          <w:b w:val="0"/>
          <w:noProof w:val="0"/>
        </w:rPr>
        <w:t>&lt;/NoDocSe&gt;</w:t>
      </w:r>
      <w:r w:rsidRPr="00543433">
        <w:t xml:space="preserve"> } </w:t>
      </w:r>
    </w:p>
    <w:p w14:paraId="2EDE4C8C" w14:textId="77777777" w:rsidR="00336C0A" w:rsidRPr="00543433" w:rsidRDefault="00336C0A" w:rsidP="00336C0A">
      <w:pPr>
        <w:pStyle w:val="RefDocRC"/>
      </w:pPr>
      <w:r w:rsidRPr="00543433">
        <w:tab/>
      </w:r>
      <w:r w:rsidRPr="00543433">
        <w:rPr>
          <w:rStyle w:val="HideTWBExt"/>
          <w:b w:val="0"/>
          <w:noProof w:val="0"/>
        </w:rPr>
        <w:t>&lt;NoDocSe&gt;</w:t>
      </w:r>
      <w:r>
        <w:t>B8</w:t>
      </w:r>
      <w:r>
        <w:noBreakHyphen/>
        <w:t>0487/2018</w:t>
      </w:r>
      <w:r w:rsidRPr="00543433">
        <w:rPr>
          <w:rStyle w:val="HideTWBExt"/>
          <w:b w:val="0"/>
          <w:noProof w:val="0"/>
        </w:rPr>
        <w:t>&lt;/NoDocSe&gt;</w:t>
      </w:r>
      <w:r w:rsidRPr="00543433">
        <w:t xml:space="preserve"> } </w:t>
      </w:r>
    </w:p>
    <w:p w14:paraId="212B5F51" w14:textId="77777777" w:rsidR="009D33CF" w:rsidRPr="00336C0A" w:rsidRDefault="009D33CF" w:rsidP="00D57C45">
      <w:pPr>
        <w:pStyle w:val="RefDocRC"/>
      </w:pPr>
      <w:r w:rsidRPr="00543433">
        <w:tab/>
      </w:r>
      <w:r w:rsidRPr="00336C0A">
        <w:rPr>
          <w:rStyle w:val="HideTWBExt"/>
          <w:b w:val="0"/>
          <w:noProof w:val="0"/>
        </w:rPr>
        <w:t>&lt;NoDocSe&gt;</w:t>
      </w:r>
      <w:r w:rsidR="00336C0A" w:rsidRPr="00336C0A">
        <w:t>B8</w:t>
      </w:r>
      <w:r w:rsidR="00336C0A" w:rsidRPr="00336C0A">
        <w:noBreakHyphen/>
        <w:t>0489/2018</w:t>
      </w:r>
      <w:r w:rsidRPr="00336C0A">
        <w:rPr>
          <w:rStyle w:val="HideTWBExt"/>
          <w:b w:val="0"/>
          <w:noProof w:val="0"/>
        </w:rPr>
        <w:t>&lt;/NoDocSe&gt;</w:t>
      </w:r>
      <w:r w:rsidR="00A72F04" w:rsidRPr="00336C0A">
        <w:rPr>
          <w:rStyle w:val="HideTWBExt"/>
          <w:b w:val="0"/>
          <w:noProof w:val="0"/>
        </w:rPr>
        <w:t>&lt;</w:t>
      </w:r>
      <w:r w:rsidR="002E2D08" w:rsidRPr="00336C0A">
        <w:rPr>
          <w:rStyle w:val="HideTWBExt"/>
          <w:b w:val="0"/>
          <w:noProof w:val="0"/>
        </w:rPr>
        <w:t>/</w:t>
      </w:r>
      <w:r w:rsidR="00A72F04" w:rsidRPr="00336C0A">
        <w:rPr>
          <w:rStyle w:val="HideTWBExt"/>
          <w:b w:val="0"/>
          <w:noProof w:val="0"/>
        </w:rPr>
        <w:t>RepeatBlock-NoDocSe&gt;</w:t>
      </w:r>
      <w:r w:rsidRPr="00336C0A">
        <w:t xml:space="preserve"> } RC1</w:t>
      </w:r>
    </w:p>
    <w:p w14:paraId="17F472B5" w14:textId="77777777" w:rsidR="004F500E" w:rsidRPr="00336C0A" w:rsidRDefault="004F500E" w:rsidP="00250797">
      <w:pPr>
        <w:widowControl/>
        <w:tabs>
          <w:tab w:val="left" w:pos="-1071"/>
          <w:tab w:val="left" w:pos="-873"/>
          <w:tab w:val="left" w:pos="-453"/>
          <w:tab w:val="left" w:pos="7059"/>
          <w:tab w:val="left" w:pos="8763"/>
          <w:tab w:val="left" w:pos="9044"/>
        </w:tabs>
        <w:jc w:val="both"/>
      </w:pPr>
    </w:p>
    <w:p w14:paraId="17E139C9" w14:textId="77777777" w:rsidR="004F500E" w:rsidRPr="00543433" w:rsidRDefault="004F500E" w:rsidP="00F849BF">
      <w:pPr>
        <w:pStyle w:val="DateRC"/>
      </w:pPr>
      <w:r w:rsidRPr="00543433">
        <w:rPr>
          <w:rStyle w:val="HideTWBExt"/>
          <w:noProof w:val="0"/>
        </w:rPr>
        <w:t>&lt;Date&gt;</w:t>
      </w:r>
      <w:r w:rsidR="00336C0A" w:rsidRPr="00336C0A">
        <w:rPr>
          <w:rStyle w:val="HideTWBInt"/>
        </w:rPr>
        <w:t>{22/10/2018}</w:t>
      </w:r>
      <w:r w:rsidR="00336C0A">
        <w:t>22.10.2018</w:t>
      </w:r>
      <w:r w:rsidRPr="00543433">
        <w:rPr>
          <w:rStyle w:val="HideTWBExt"/>
          <w:noProof w:val="0"/>
        </w:rPr>
        <w:t>&lt;/Date&gt;</w:t>
      </w:r>
    </w:p>
    <w:p w14:paraId="3672980E" w14:textId="77777777" w:rsidR="009D33CF" w:rsidRPr="00543433" w:rsidRDefault="009D33CF">
      <w:pPr>
        <w:pStyle w:val="TypeDocRC"/>
      </w:pPr>
      <w:r w:rsidRPr="00543433">
        <w:rPr>
          <w:rStyle w:val="HideTWBExt"/>
          <w:b w:val="0"/>
          <w:noProof w:val="0"/>
        </w:rPr>
        <w:t>&lt;TitreType&gt;</w:t>
      </w:r>
      <w:r w:rsidR="00543433" w:rsidRPr="00543433">
        <w:t>JOINT MOTION FOR A RESOLUTION</w:t>
      </w:r>
      <w:r w:rsidRPr="00543433">
        <w:rPr>
          <w:rStyle w:val="HideTWBExt"/>
          <w:b w:val="0"/>
          <w:noProof w:val="0"/>
        </w:rPr>
        <w:t>&lt;/TitreType&gt;</w:t>
      </w:r>
    </w:p>
    <w:p w14:paraId="6540283A" w14:textId="4AC0BFC8" w:rsidR="009D33CF" w:rsidRPr="00543433" w:rsidRDefault="009D33CF">
      <w:pPr>
        <w:pStyle w:val="Cover12"/>
      </w:pPr>
      <w:r w:rsidRPr="00543433">
        <w:rPr>
          <w:rStyle w:val="HideTWBExt"/>
          <w:noProof w:val="0"/>
        </w:rPr>
        <w:t>&lt;TitreRecueil&gt;</w:t>
      </w:r>
      <w:r w:rsidR="00543433" w:rsidRPr="00543433">
        <w:t xml:space="preserve">pursuant to </w:t>
      </w:r>
      <w:r w:rsidR="00336C0A">
        <w:t>Rules 128(5) and 123(4)</w:t>
      </w:r>
      <w:r w:rsidR="00543433" w:rsidRPr="00543433">
        <w:t xml:space="preserve"> of the Rules of Procedure</w:t>
      </w:r>
      <w:r w:rsidRPr="00543433">
        <w:rPr>
          <w:rStyle w:val="HideTWBExt"/>
          <w:noProof w:val="0"/>
        </w:rPr>
        <w:t>&lt;/TitreRecueil&gt;</w:t>
      </w:r>
    </w:p>
    <w:p w14:paraId="69541C6C" w14:textId="77777777" w:rsidR="00747149" w:rsidRPr="00543433" w:rsidRDefault="00543433" w:rsidP="00747149">
      <w:pPr>
        <w:pStyle w:val="CoverNormal"/>
      </w:pPr>
      <w:r w:rsidRPr="00543433">
        <w:t>replacing the following motions:</w:t>
      </w:r>
    </w:p>
    <w:p w14:paraId="5AD355E4" w14:textId="77777777" w:rsidR="00747149" w:rsidRPr="00336C0A" w:rsidRDefault="00336C0A" w:rsidP="00747149">
      <w:pPr>
        <w:pStyle w:val="CoverNormal"/>
        <w:rPr>
          <w:lang w:val="nl-NL"/>
        </w:rPr>
      </w:pPr>
      <w:r w:rsidRPr="00336C0A">
        <w:rPr>
          <w:lang w:val="nl-NL"/>
        </w:rPr>
        <w:t>B8</w:t>
      </w:r>
      <w:r w:rsidRPr="00336C0A">
        <w:rPr>
          <w:lang w:val="nl-NL"/>
        </w:rPr>
        <w:noBreakHyphen/>
        <w:t>0484/2018</w:t>
      </w:r>
      <w:r w:rsidR="00747149" w:rsidRPr="00336C0A">
        <w:rPr>
          <w:lang w:val="nl-NL"/>
        </w:rPr>
        <w:t xml:space="preserve"> (</w:t>
      </w:r>
      <w:r w:rsidRPr="00336C0A">
        <w:rPr>
          <w:lang w:val="nl-NL"/>
        </w:rPr>
        <w:t>S&amp;D</w:t>
      </w:r>
      <w:r>
        <w:rPr>
          <w:lang w:val="nl-NL"/>
        </w:rPr>
        <w:t>, GUE/NGL, Verts/ALE, EFDD</w:t>
      </w:r>
      <w:r w:rsidR="00747149" w:rsidRPr="00336C0A">
        <w:rPr>
          <w:lang w:val="nl-NL"/>
        </w:rPr>
        <w:t>)</w:t>
      </w:r>
    </w:p>
    <w:p w14:paraId="7892F2ED" w14:textId="77777777" w:rsidR="00336C0A" w:rsidRPr="00336C0A" w:rsidRDefault="00336C0A" w:rsidP="00336C0A">
      <w:pPr>
        <w:pStyle w:val="CoverNormal"/>
        <w:rPr>
          <w:lang w:val="nl-NL"/>
        </w:rPr>
      </w:pPr>
      <w:r w:rsidRPr="00336C0A">
        <w:rPr>
          <w:lang w:val="nl-NL"/>
        </w:rPr>
        <w:t>B8</w:t>
      </w:r>
      <w:r w:rsidRPr="00336C0A">
        <w:rPr>
          <w:lang w:val="nl-NL"/>
        </w:rPr>
        <w:noBreakHyphen/>
        <w:t>0485/2018 (PPE)</w:t>
      </w:r>
    </w:p>
    <w:p w14:paraId="387E6BE7" w14:textId="77777777" w:rsidR="00336C0A" w:rsidRPr="00336C0A" w:rsidRDefault="00336C0A" w:rsidP="00336C0A">
      <w:pPr>
        <w:pStyle w:val="CoverNormal"/>
        <w:rPr>
          <w:lang w:val="nl-NL"/>
        </w:rPr>
      </w:pPr>
      <w:r w:rsidRPr="00336C0A">
        <w:rPr>
          <w:lang w:val="nl-NL"/>
        </w:rPr>
        <w:t>B8</w:t>
      </w:r>
      <w:r w:rsidRPr="00336C0A">
        <w:rPr>
          <w:lang w:val="nl-NL"/>
        </w:rPr>
        <w:noBreakHyphen/>
        <w:t>0487/2018 (ECR)</w:t>
      </w:r>
    </w:p>
    <w:p w14:paraId="64FE55DB" w14:textId="77777777" w:rsidR="00747149" w:rsidRPr="00336C0A" w:rsidRDefault="00336C0A" w:rsidP="00747149">
      <w:pPr>
        <w:pStyle w:val="Cover12"/>
        <w:rPr>
          <w:lang w:val="nl-NL"/>
        </w:rPr>
      </w:pPr>
      <w:r w:rsidRPr="00336C0A">
        <w:rPr>
          <w:lang w:val="nl-NL"/>
        </w:rPr>
        <w:t>B8</w:t>
      </w:r>
      <w:r w:rsidRPr="00336C0A">
        <w:rPr>
          <w:lang w:val="nl-NL"/>
        </w:rPr>
        <w:noBreakHyphen/>
        <w:t>0489/2018</w:t>
      </w:r>
      <w:r w:rsidR="00747149" w:rsidRPr="00336C0A">
        <w:rPr>
          <w:lang w:val="nl-NL"/>
        </w:rPr>
        <w:t xml:space="preserve"> (</w:t>
      </w:r>
      <w:r w:rsidRPr="00336C0A">
        <w:rPr>
          <w:lang w:val="nl-NL"/>
        </w:rPr>
        <w:t>ALDE</w:t>
      </w:r>
      <w:r w:rsidR="00747149" w:rsidRPr="00336C0A">
        <w:rPr>
          <w:lang w:val="nl-NL"/>
        </w:rPr>
        <w:t>)</w:t>
      </w:r>
    </w:p>
    <w:p w14:paraId="0C30A3B4" w14:textId="77777777" w:rsidR="00747149" w:rsidRPr="00336C0A" w:rsidRDefault="00747149" w:rsidP="00747149">
      <w:pPr>
        <w:pStyle w:val="CoverNormal"/>
      </w:pPr>
      <w:r w:rsidRPr="00336C0A">
        <w:rPr>
          <w:rStyle w:val="HideTWBExt"/>
          <w:noProof w:val="0"/>
        </w:rPr>
        <w:t>&lt;Titre&gt;</w:t>
      </w:r>
      <w:r w:rsidR="00543433" w:rsidRPr="00336C0A">
        <w:t xml:space="preserve">on </w:t>
      </w:r>
      <w:r w:rsidR="00336C0A">
        <w:t>animal welfare, antimicrobial use and the environmental impact of industrial broiler farming</w:t>
      </w:r>
      <w:r w:rsidRPr="00336C0A">
        <w:rPr>
          <w:rStyle w:val="HideTWBExt"/>
          <w:noProof w:val="0"/>
        </w:rPr>
        <w:t>&lt;/Titre&gt;</w:t>
      </w:r>
    </w:p>
    <w:p w14:paraId="4104EE82" w14:textId="77777777" w:rsidR="00747149" w:rsidRPr="00336C0A" w:rsidRDefault="00747149" w:rsidP="00747149">
      <w:pPr>
        <w:pStyle w:val="Cover24"/>
      </w:pPr>
      <w:r w:rsidRPr="00336C0A">
        <w:rPr>
          <w:rStyle w:val="HideTWBExt"/>
          <w:noProof w:val="0"/>
        </w:rPr>
        <w:t>&lt;DocRef&gt;</w:t>
      </w:r>
      <w:r w:rsidR="00543433" w:rsidRPr="00336C0A">
        <w:t>(</w:t>
      </w:r>
      <w:r w:rsidR="00336C0A" w:rsidRPr="00336C0A">
        <w:t>2018/2858</w:t>
      </w:r>
      <w:r w:rsidR="00543433" w:rsidRPr="00336C0A">
        <w:t>(RSP))</w:t>
      </w:r>
      <w:r w:rsidRPr="00336C0A">
        <w:rPr>
          <w:rStyle w:val="HideTWBExt"/>
          <w:noProof w:val="0"/>
        </w:rPr>
        <w:t>&lt;/DocRef&gt;</w:t>
      </w:r>
    </w:p>
    <w:p w14:paraId="753EBAF4" w14:textId="77777777" w:rsidR="00747149" w:rsidRPr="00543433" w:rsidRDefault="00747149" w:rsidP="00747149">
      <w:pPr>
        <w:pStyle w:val="CoverBold"/>
      </w:pPr>
      <w:r w:rsidRPr="00543433">
        <w:rPr>
          <w:rStyle w:val="HideTWBExt"/>
          <w:b w:val="0"/>
          <w:noProof w:val="0"/>
        </w:rPr>
        <w:t>&lt;RepeatBlock-By&gt;&lt;Depute&gt;</w:t>
      </w:r>
      <w:r w:rsidR="00336C0A">
        <w:t>Michel Dantin, Herbert Dorfmann</w:t>
      </w:r>
      <w:r w:rsidRPr="00543433">
        <w:rPr>
          <w:rStyle w:val="HideTWBExt"/>
          <w:b w:val="0"/>
          <w:noProof w:val="0"/>
        </w:rPr>
        <w:t>&lt;/Depute&gt;</w:t>
      </w:r>
    </w:p>
    <w:p w14:paraId="029718A8" w14:textId="77777777" w:rsidR="00747149" w:rsidRPr="00543433" w:rsidRDefault="00747149" w:rsidP="00747149">
      <w:pPr>
        <w:pStyle w:val="CoverNormal"/>
      </w:pPr>
      <w:r w:rsidRPr="00543433">
        <w:rPr>
          <w:rStyle w:val="HideTWBExt"/>
          <w:noProof w:val="0"/>
        </w:rPr>
        <w:t>&lt;Commission&gt;</w:t>
      </w:r>
      <w:r w:rsidR="00336C0A" w:rsidRPr="00336C0A">
        <w:rPr>
          <w:rStyle w:val="HideTWBInt"/>
        </w:rPr>
        <w:t>{PPE}</w:t>
      </w:r>
      <w:r w:rsidR="00336C0A">
        <w:t>on behalf of the PPE Group</w:t>
      </w:r>
      <w:r w:rsidRPr="00543433">
        <w:rPr>
          <w:rStyle w:val="HideTWBExt"/>
          <w:noProof w:val="0"/>
        </w:rPr>
        <w:t>&lt;/Commission&gt;</w:t>
      </w:r>
    </w:p>
    <w:p w14:paraId="79999BCD" w14:textId="77777777" w:rsidR="00336C0A" w:rsidRPr="00543433" w:rsidRDefault="00336C0A" w:rsidP="00336C0A">
      <w:pPr>
        <w:pStyle w:val="CoverBold"/>
      </w:pPr>
      <w:r w:rsidRPr="00543433">
        <w:rPr>
          <w:rStyle w:val="HideTWBExt"/>
          <w:b w:val="0"/>
          <w:noProof w:val="0"/>
        </w:rPr>
        <w:t>&lt;Depute&gt;</w:t>
      </w:r>
      <w:r>
        <w:t>Karin Kadenbach</w:t>
      </w:r>
      <w:r w:rsidRPr="00543433">
        <w:rPr>
          <w:rStyle w:val="HideTWBExt"/>
          <w:b w:val="0"/>
          <w:noProof w:val="0"/>
        </w:rPr>
        <w:t>&lt;/Depute&gt;</w:t>
      </w:r>
    </w:p>
    <w:p w14:paraId="14FAFF37" w14:textId="77777777" w:rsidR="00336C0A" w:rsidRPr="00543433" w:rsidRDefault="00336C0A" w:rsidP="00336C0A">
      <w:pPr>
        <w:pStyle w:val="CoverNormal"/>
      </w:pPr>
      <w:r w:rsidRPr="00543433">
        <w:rPr>
          <w:rStyle w:val="HideTWBExt"/>
          <w:noProof w:val="0"/>
        </w:rPr>
        <w:t>&lt;Commission&gt;</w:t>
      </w:r>
      <w:r w:rsidRPr="00336C0A">
        <w:rPr>
          <w:rStyle w:val="HideTWBInt"/>
        </w:rPr>
        <w:t>{S&amp;D}</w:t>
      </w:r>
      <w:r>
        <w:t>on behalf of the S&amp;D Group</w:t>
      </w:r>
      <w:r w:rsidRPr="00543433">
        <w:rPr>
          <w:rStyle w:val="HideTWBExt"/>
          <w:noProof w:val="0"/>
        </w:rPr>
        <w:t>&lt;/Commission&gt;</w:t>
      </w:r>
    </w:p>
    <w:p w14:paraId="7C1D8F35" w14:textId="30A7DCBB" w:rsidR="00336C0A" w:rsidRPr="00336C0A" w:rsidRDefault="00336C0A" w:rsidP="00336C0A">
      <w:pPr>
        <w:pStyle w:val="CoverBold"/>
      </w:pPr>
      <w:r w:rsidRPr="00543433">
        <w:rPr>
          <w:rStyle w:val="HideTWBExt"/>
          <w:b w:val="0"/>
          <w:noProof w:val="0"/>
        </w:rPr>
        <w:t>&lt;Depute&gt;</w:t>
      </w:r>
      <w:r>
        <w:t>Jørn Dohrmann</w:t>
      </w:r>
      <w:r w:rsidR="000D04C6">
        <w:t>, Anthea McIntyre, James Nicholson, John Flack</w:t>
      </w:r>
      <w:r w:rsidRPr="00336C0A">
        <w:rPr>
          <w:rStyle w:val="HideTWBExt"/>
          <w:b w:val="0"/>
          <w:noProof w:val="0"/>
          <w:color w:val="auto"/>
        </w:rPr>
        <w:t>&lt;/Depute&gt;</w:t>
      </w:r>
    </w:p>
    <w:p w14:paraId="150BE73B" w14:textId="77777777" w:rsidR="00336C0A" w:rsidRPr="00543433" w:rsidRDefault="00336C0A" w:rsidP="00336C0A">
      <w:pPr>
        <w:pStyle w:val="CoverNormal"/>
      </w:pPr>
      <w:r w:rsidRPr="00543433">
        <w:rPr>
          <w:rStyle w:val="HideTWBExt"/>
          <w:noProof w:val="0"/>
        </w:rPr>
        <w:t>&lt;Commission&gt;</w:t>
      </w:r>
      <w:r w:rsidRPr="00336C0A">
        <w:rPr>
          <w:rStyle w:val="HideTWBInt"/>
        </w:rPr>
        <w:t>{ECR}</w:t>
      </w:r>
      <w:r>
        <w:t>on behalf of the ECR Group</w:t>
      </w:r>
      <w:r w:rsidRPr="00543433">
        <w:rPr>
          <w:rStyle w:val="HideTWBExt"/>
          <w:noProof w:val="0"/>
        </w:rPr>
        <w:t>&lt;/Commission&gt;</w:t>
      </w:r>
    </w:p>
    <w:p w14:paraId="04B28965" w14:textId="77777777" w:rsidR="00336C0A" w:rsidRPr="00336C0A" w:rsidRDefault="00336C0A" w:rsidP="00336C0A">
      <w:pPr>
        <w:pStyle w:val="CoverBold"/>
      </w:pPr>
      <w:r w:rsidRPr="00543433">
        <w:rPr>
          <w:rStyle w:val="HideTWBExt"/>
          <w:b w:val="0"/>
          <w:noProof w:val="0"/>
        </w:rPr>
        <w:t>&lt;Depute&gt;</w:t>
      </w:r>
      <w:r>
        <w:t>Elsi Katainen</w:t>
      </w:r>
      <w:r w:rsidRPr="00336C0A">
        <w:rPr>
          <w:rStyle w:val="HideTWBExt"/>
          <w:b w:val="0"/>
          <w:noProof w:val="0"/>
          <w:color w:val="auto"/>
        </w:rPr>
        <w:t>&lt;/Depute&gt;</w:t>
      </w:r>
    </w:p>
    <w:p w14:paraId="504D9BB1" w14:textId="77777777" w:rsidR="00336C0A" w:rsidRPr="00543433" w:rsidRDefault="00336C0A" w:rsidP="00336C0A">
      <w:pPr>
        <w:pStyle w:val="CoverNormal"/>
      </w:pPr>
      <w:r w:rsidRPr="00543433">
        <w:rPr>
          <w:rStyle w:val="HideTWBExt"/>
          <w:noProof w:val="0"/>
        </w:rPr>
        <w:t>&lt;Commission&gt;</w:t>
      </w:r>
      <w:r w:rsidRPr="00336C0A">
        <w:rPr>
          <w:rStyle w:val="HideTWBInt"/>
        </w:rPr>
        <w:t>{ALDE}</w:t>
      </w:r>
      <w:r>
        <w:t>on behalf of the ALDE Group</w:t>
      </w:r>
      <w:r w:rsidRPr="00543433">
        <w:rPr>
          <w:rStyle w:val="HideTWBExt"/>
          <w:noProof w:val="0"/>
        </w:rPr>
        <w:t>&lt;/Commission&gt;</w:t>
      </w:r>
    </w:p>
    <w:p w14:paraId="4C5AB163" w14:textId="77777777" w:rsidR="00336C0A" w:rsidRPr="00543433" w:rsidRDefault="00336C0A" w:rsidP="00336C0A">
      <w:pPr>
        <w:pStyle w:val="CoverBold"/>
      </w:pPr>
      <w:r w:rsidRPr="00543433">
        <w:rPr>
          <w:rStyle w:val="HideTWBExt"/>
          <w:b w:val="0"/>
          <w:noProof w:val="0"/>
        </w:rPr>
        <w:t>&lt;Depute&gt;</w:t>
      </w:r>
      <w:r>
        <w:t>Anja Hazekamp, Marina Albiol Guzmán, Paloma López Bermejo, Ángela Vallina, Younous Omarjee, Dimitrios Papadimoulis, Stelios Kouloglou, Stefan Eck</w:t>
      </w:r>
      <w:r w:rsidRPr="00543433">
        <w:rPr>
          <w:rStyle w:val="HideTWBExt"/>
          <w:b w:val="0"/>
          <w:noProof w:val="0"/>
        </w:rPr>
        <w:t>&lt;/Depute&gt;</w:t>
      </w:r>
    </w:p>
    <w:p w14:paraId="4E5405DF" w14:textId="77777777" w:rsidR="00336C0A" w:rsidRPr="00543433" w:rsidRDefault="00336C0A" w:rsidP="00336C0A">
      <w:pPr>
        <w:pStyle w:val="CoverNormal"/>
      </w:pPr>
      <w:r w:rsidRPr="00543433">
        <w:rPr>
          <w:rStyle w:val="HideTWBExt"/>
          <w:noProof w:val="0"/>
        </w:rPr>
        <w:t>&lt;Commission&gt;</w:t>
      </w:r>
      <w:r w:rsidRPr="00336C0A">
        <w:rPr>
          <w:rStyle w:val="HideTWBInt"/>
        </w:rPr>
        <w:t>{GUE/NGL}</w:t>
      </w:r>
      <w:r>
        <w:t>on behalf of the GUE/NGL Group</w:t>
      </w:r>
      <w:r w:rsidRPr="00543433">
        <w:rPr>
          <w:rStyle w:val="HideTWBExt"/>
          <w:noProof w:val="0"/>
        </w:rPr>
        <w:t>&lt;/Commission&gt;</w:t>
      </w:r>
    </w:p>
    <w:p w14:paraId="08720CDD" w14:textId="77777777" w:rsidR="00336C0A" w:rsidRPr="00336C0A" w:rsidRDefault="00336C0A" w:rsidP="00336C0A">
      <w:pPr>
        <w:pStyle w:val="CoverBold"/>
      </w:pPr>
      <w:r w:rsidRPr="00543433">
        <w:rPr>
          <w:rStyle w:val="HideTWBExt"/>
          <w:b w:val="0"/>
          <w:noProof w:val="0"/>
        </w:rPr>
        <w:t>&lt;Depute&gt;</w:t>
      </w:r>
      <w:r>
        <w:t>Keith Taylor, Thomas Waitz</w:t>
      </w:r>
      <w:r w:rsidRPr="00336C0A">
        <w:rPr>
          <w:rStyle w:val="HideTWBExt"/>
          <w:b w:val="0"/>
          <w:noProof w:val="0"/>
          <w:color w:val="auto"/>
        </w:rPr>
        <w:t>&lt;/Depute&gt;</w:t>
      </w:r>
    </w:p>
    <w:p w14:paraId="1A642D64" w14:textId="77777777" w:rsidR="00336C0A" w:rsidRPr="00543433" w:rsidRDefault="00336C0A" w:rsidP="00336C0A">
      <w:pPr>
        <w:pStyle w:val="CoverNormal"/>
      </w:pPr>
      <w:r w:rsidRPr="00543433">
        <w:rPr>
          <w:rStyle w:val="HideTWBExt"/>
          <w:noProof w:val="0"/>
        </w:rPr>
        <w:t>&lt;Commission&gt;</w:t>
      </w:r>
      <w:r w:rsidRPr="00336C0A">
        <w:rPr>
          <w:rStyle w:val="HideTWBInt"/>
        </w:rPr>
        <w:t>{Verts/ALE}</w:t>
      </w:r>
      <w:r>
        <w:t>on behalf of the Verts/ALE Group</w:t>
      </w:r>
      <w:r w:rsidRPr="00543433">
        <w:rPr>
          <w:rStyle w:val="HideTWBExt"/>
          <w:noProof w:val="0"/>
        </w:rPr>
        <w:t>&lt;/Commission&gt;</w:t>
      </w:r>
    </w:p>
    <w:p w14:paraId="102E0429" w14:textId="47CEF9A5" w:rsidR="00747149" w:rsidRPr="00336C0A" w:rsidRDefault="00747149" w:rsidP="00747149">
      <w:pPr>
        <w:pStyle w:val="CoverBold"/>
        <w:rPr>
          <w:lang w:val="it-IT"/>
        </w:rPr>
      </w:pPr>
      <w:r w:rsidRPr="00336C0A">
        <w:rPr>
          <w:rStyle w:val="HideTWBExt"/>
          <w:b w:val="0"/>
          <w:noProof w:val="0"/>
          <w:lang w:val="it-IT"/>
        </w:rPr>
        <w:lastRenderedPageBreak/>
        <w:t>&lt;Depute&gt;</w:t>
      </w:r>
      <w:r w:rsidR="00336C0A" w:rsidRPr="00336C0A">
        <w:rPr>
          <w:lang w:val="it-IT"/>
        </w:rPr>
        <w:t>Eleonora Evi, Marco Zullo, Laura Agea, Rosa D</w:t>
      </w:r>
      <w:r w:rsidR="0040134E">
        <w:rPr>
          <w:lang w:val="it-IT"/>
        </w:rPr>
        <w:t>’</w:t>
      </w:r>
      <w:r w:rsidR="00336C0A" w:rsidRPr="00336C0A">
        <w:rPr>
          <w:lang w:val="it-IT"/>
        </w:rPr>
        <w:t>Amato, Piernicola Pedicini</w:t>
      </w:r>
      <w:r w:rsidRPr="00336C0A">
        <w:rPr>
          <w:rStyle w:val="HideTWBExt"/>
          <w:b w:val="0"/>
          <w:noProof w:val="0"/>
          <w:color w:val="auto"/>
          <w:lang w:val="it-IT"/>
        </w:rPr>
        <w:t>&lt;/Depute&gt;</w:t>
      </w:r>
    </w:p>
    <w:p w14:paraId="50626086" w14:textId="77777777" w:rsidR="00BB330A" w:rsidRPr="00543433" w:rsidRDefault="00747149" w:rsidP="00BB330A">
      <w:pPr>
        <w:pStyle w:val="CoverNormal"/>
      </w:pPr>
      <w:r w:rsidRPr="00543433">
        <w:rPr>
          <w:rStyle w:val="HideTWBExt"/>
          <w:noProof w:val="0"/>
        </w:rPr>
        <w:t>&lt;Commission&gt;</w:t>
      </w:r>
      <w:r w:rsidR="00336C0A" w:rsidRPr="00336C0A">
        <w:rPr>
          <w:rStyle w:val="HideTWBInt"/>
        </w:rPr>
        <w:t>{EFDD}</w:t>
      </w:r>
      <w:r w:rsidR="00336C0A">
        <w:t>on behalf of the EFDD Group</w:t>
      </w:r>
      <w:r w:rsidRPr="00543433">
        <w:rPr>
          <w:rStyle w:val="HideTWBExt"/>
          <w:noProof w:val="0"/>
        </w:rPr>
        <w:t>&lt;/Commission&gt;</w:t>
      </w:r>
    </w:p>
    <w:p w14:paraId="691DE765" w14:textId="77777777" w:rsidR="00747149" w:rsidRPr="00543433" w:rsidRDefault="00747149" w:rsidP="00BB330A">
      <w:pPr>
        <w:pStyle w:val="CoverNormal"/>
      </w:pPr>
      <w:r w:rsidRPr="00543433">
        <w:rPr>
          <w:rStyle w:val="HideTWBExt"/>
          <w:noProof w:val="0"/>
        </w:rPr>
        <w:t>&lt;/RepeatBlock-By&gt;</w:t>
      </w:r>
    </w:p>
    <w:p w14:paraId="3B42EB0D" w14:textId="77777777" w:rsidR="00AB70B2" w:rsidRPr="00543433" w:rsidRDefault="009D33CF" w:rsidP="00AB70B2">
      <w:pPr>
        <w:pStyle w:val="NormalBold"/>
      </w:pPr>
      <w:bookmarkStart w:id="0" w:name="_GoBack"/>
      <w:bookmarkEnd w:id="0"/>
      <w:r w:rsidRPr="00543433">
        <w:br w:type="page"/>
      </w:r>
      <w:r w:rsidR="00543433" w:rsidRPr="00543433">
        <w:lastRenderedPageBreak/>
        <w:t xml:space="preserve">European Parliament resolution on </w:t>
      </w:r>
      <w:r w:rsidR="00336C0A" w:rsidRPr="00336C0A">
        <w:t>animal welfare, antimicrobial use and the environmental impact of industrial broiler farming</w:t>
      </w:r>
    </w:p>
    <w:p w14:paraId="11403801" w14:textId="77777777" w:rsidR="00AB70B2" w:rsidRPr="00543433" w:rsidRDefault="00543433" w:rsidP="00AB70B2">
      <w:pPr>
        <w:pStyle w:val="Normal24Bold"/>
      </w:pPr>
      <w:r w:rsidRPr="00543433">
        <w:t>(</w:t>
      </w:r>
      <w:r w:rsidR="00336C0A" w:rsidRPr="00336C0A">
        <w:t>2018/2858</w:t>
      </w:r>
      <w:r w:rsidRPr="00543433">
        <w:t>(RSP))</w:t>
      </w:r>
    </w:p>
    <w:p w14:paraId="67B12F84" w14:textId="77777777" w:rsidR="00BD6966" w:rsidRPr="0040134E" w:rsidRDefault="00BD6966" w:rsidP="00BD6966">
      <w:pPr>
        <w:pStyle w:val="Hanging12"/>
        <w:rPr>
          <w:i/>
          <w:color w:val="000000"/>
        </w:rPr>
      </w:pPr>
      <w:r w:rsidRPr="0040134E">
        <w:rPr>
          <w:i/>
        </w:rPr>
        <w:t>The European Parliament,</w:t>
      </w:r>
    </w:p>
    <w:p w14:paraId="1378BACA" w14:textId="5F8A3CE9"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Council Directive 2007/43/EC of 28 June 2007 laying down minimum rules for the protection of chickens kept for meat production</w:t>
      </w:r>
      <w:r>
        <w:rPr>
          <w:rStyle w:val="FootnoteReference"/>
          <w:color w:val="000000"/>
        </w:rPr>
        <w:footnoteReference w:id="1"/>
      </w:r>
      <w:r>
        <w:rPr>
          <w:color w:val="000000"/>
        </w:rPr>
        <w:t xml:space="preserve"> (the Broiler Directive),</w:t>
      </w:r>
    </w:p>
    <w:p w14:paraId="19A29713" w14:textId="6CD343C3"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its resolution of 26 November 2015 on a new animal welfare strategy for 2016-2020</w:t>
      </w:r>
      <w:r>
        <w:rPr>
          <w:rStyle w:val="FootnoteReference"/>
          <w:color w:val="000000"/>
        </w:rPr>
        <w:footnoteReference w:id="2"/>
      </w:r>
      <w:r>
        <w:rPr>
          <w:color w:val="000000"/>
        </w:rPr>
        <w:t>,</w:t>
      </w:r>
    </w:p>
    <w:p w14:paraId="0D8A7684" w14:textId="77777777"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the 2017 EU One Health Action Plan against Antimicrobial Resistance,</w:t>
      </w:r>
    </w:p>
    <w:p w14:paraId="13F16BCA" w14:textId="23435DFD"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the Commission communication of 19 January 2012 on the European Union Strategy for the Protection and Welfare of Animals 2012-2015 (COM (2012)0006),</w:t>
      </w:r>
    </w:p>
    <w:p w14:paraId="2FC0E2F3" w14:textId="6A797F43"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 xml:space="preserve">having regard to the </w:t>
      </w:r>
      <w:r w:rsidRPr="00FE74F1">
        <w:rPr>
          <w:color w:val="000000"/>
        </w:rPr>
        <w:t>Report</w:t>
      </w:r>
      <w:r>
        <w:rPr>
          <w:color w:val="000000"/>
        </w:rPr>
        <w:t xml:space="preserve"> from the Commission to the European Parliament and the Council of 13 April 2018 on the application of Directive 2007/43/EC and its influence on the welfare of chickens kept for meat production, as well as the development of welfare indicators (COM(2018)0181),</w:t>
      </w:r>
    </w:p>
    <w:p w14:paraId="15CF5175" w14:textId="65EB5B4D"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the study by the Commission of 21 November 2017 on the application of Council Directive 2007/43/EC and development of welfare indicators,</w:t>
      </w:r>
    </w:p>
    <w:p w14:paraId="4D74AC6D" w14:textId="6936AB31"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 xml:space="preserve">having regard to the agreement on the Veterinary Medicinal Products Regulation reached on </w:t>
      </w:r>
      <w:r w:rsidRPr="00FE74F1">
        <w:rPr>
          <w:color w:val="000000"/>
        </w:rPr>
        <w:t>5</w:t>
      </w:r>
      <w:r>
        <w:rPr>
          <w:color w:val="000000"/>
        </w:rPr>
        <w:t xml:space="preserve"> June 2018,</w:t>
      </w:r>
    </w:p>
    <w:p w14:paraId="1007B0E9" w14:textId="263A6B87"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Regulation (EU) 2016/429 of the European Parliament and of the Council of 9 March 2016 on transmissible animal diseases and amending and repealing certain acts in the area of animal health (</w:t>
      </w:r>
      <w:r w:rsidR="0040134E">
        <w:rPr>
          <w:color w:val="000000"/>
        </w:rPr>
        <w:t>‘</w:t>
      </w:r>
      <w:r>
        <w:rPr>
          <w:color w:val="000000"/>
        </w:rPr>
        <w:t>Animal Health Law</w:t>
      </w:r>
      <w:r w:rsidR="0040134E">
        <w:rPr>
          <w:color w:val="000000"/>
        </w:rPr>
        <w:t>’</w:t>
      </w:r>
      <w:r>
        <w:rPr>
          <w:color w:val="000000"/>
        </w:rPr>
        <w:t>)</w:t>
      </w:r>
      <w:r>
        <w:rPr>
          <w:rStyle w:val="FootnoteReference"/>
          <w:color w:val="000000"/>
        </w:rPr>
        <w:footnoteReference w:id="3"/>
      </w:r>
      <w:r>
        <w:rPr>
          <w:color w:val="000000"/>
        </w:rPr>
        <w:t>,</w:t>
      </w:r>
    </w:p>
    <w:p w14:paraId="121A8FEC" w14:textId="77777777"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Regulation (EU) 2017/625 of the European Parliament and of the Council of 15 March 2017 on official controls and other official activities performed to ensure the application of food and feed law, rules on animal health and welfare, plant health and plant protection products</w:t>
      </w:r>
      <w:r>
        <w:rPr>
          <w:rStyle w:val="FootnoteReference"/>
          <w:color w:val="000000"/>
        </w:rPr>
        <w:footnoteReference w:id="4"/>
      </w:r>
      <w:r>
        <w:rPr>
          <w:color w:val="000000"/>
        </w:rPr>
        <w:t>,</w:t>
      </w:r>
    </w:p>
    <w:p w14:paraId="201009D5" w14:textId="00ACB592" w:rsidR="00BD6966" w:rsidRPr="00FE74F1" w:rsidRDefault="00BD6966" w:rsidP="00BD6966">
      <w:pPr>
        <w:pStyle w:val="Hanging12"/>
        <w:tabs>
          <w:tab w:val="clear" w:pos="357"/>
          <w:tab w:val="left" w:pos="567"/>
        </w:tabs>
        <w:rPr>
          <w:color w:val="000000"/>
        </w:rPr>
      </w:pPr>
      <w:r>
        <w:rPr>
          <w:color w:val="000000"/>
          <w:szCs w:val="24"/>
        </w:rPr>
        <w:t>–</w:t>
      </w:r>
      <w:r>
        <w:rPr>
          <w:color w:val="000000"/>
          <w:szCs w:val="24"/>
        </w:rPr>
        <w:tab/>
      </w:r>
      <w:r>
        <w:rPr>
          <w:color w:val="000000"/>
        </w:rPr>
        <w:t>having regard to the European Convention for the Protection of Animals kept for Farming Purposes and to Council Directive 98/58/EC of 20 July 1998 on the same topic</w:t>
      </w:r>
      <w:r>
        <w:rPr>
          <w:rStyle w:val="FootnoteReference"/>
          <w:color w:val="000000"/>
        </w:rPr>
        <w:footnoteReference w:id="5"/>
      </w:r>
      <w:r>
        <w:rPr>
          <w:color w:val="000000"/>
        </w:rPr>
        <w:t>,</w:t>
      </w:r>
    </w:p>
    <w:p w14:paraId="2255F397" w14:textId="2B00905B" w:rsidR="00BD6966" w:rsidRPr="00FE74F1" w:rsidRDefault="00BD6966" w:rsidP="00BD6966">
      <w:pPr>
        <w:pStyle w:val="Hanging12"/>
        <w:tabs>
          <w:tab w:val="clear" w:pos="357"/>
          <w:tab w:val="left" w:pos="567"/>
        </w:tabs>
        <w:rPr>
          <w:color w:val="000000"/>
        </w:rPr>
      </w:pPr>
      <w:r>
        <w:rPr>
          <w:color w:val="000000"/>
        </w:rPr>
        <w:t>–</w:t>
      </w:r>
      <w:r>
        <w:rPr>
          <w:color w:val="000000"/>
        </w:rPr>
        <w:tab/>
        <w:t>having regard to Commission I</w:t>
      </w:r>
      <w:r w:rsidRPr="00FE74F1">
        <w:rPr>
          <w:color w:val="000000"/>
        </w:rPr>
        <w:t xml:space="preserve">mplementing </w:t>
      </w:r>
      <w:r>
        <w:rPr>
          <w:color w:val="000000"/>
        </w:rPr>
        <w:t>D</w:t>
      </w:r>
      <w:r w:rsidRPr="00FE74F1">
        <w:rPr>
          <w:color w:val="000000"/>
        </w:rPr>
        <w:t>ecision</w:t>
      </w:r>
      <w:r>
        <w:rPr>
          <w:color w:val="000000"/>
        </w:rPr>
        <w:t xml:space="preserve"> (EU) 2017/302 of 15 February 2017 establishing best available techniques (BAT) conclusions, under Directive 2010/75/EU of the European Parliament and of the Council, for the intensive rearing of poultry or pigs</w:t>
      </w:r>
      <w:r>
        <w:rPr>
          <w:rStyle w:val="FootnoteReference"/>
          <w:color w:val="000000"/>
        </w:rPr>
        <w:footnoteReference w:id="6"/>
      </w:r>
      <w:r>
        <w:rPr>
          <w:color w:val="000000"/>
        </w:rPr>
        <w:t>,</w:t>
      </w:r>
    </w:p>
    <w:p w14:paraId="566EBF12" w14:textId="59BC1911" w:rsidR="00BD6966" w:rsidRPr="00FE74F1" w:rsidRDefault="00BD6966" w:rsidP="00BD6966">
      <w:pPr>
        <w:pStyle w:val="Hanging12"/>
        <w:tabs>
          <w:tab w:val="clear" w:pos="357"/>
          <w:tab w:val="left" w:pos="567"/>
        </w:tabs>
        <w:rPr>
          <w:color w:val="000000"/>
        </w:rPr>
      </w:pPr>
      <w:r>
        <w:rPr>
          <w:color w:val="000000"/>
        </w:rPr>
        <w:t>–</w:t>
      </w:r>
      <w:r>
        <w:rPr>
          <w:color w:val="000000"/>
        </w:rPr>
        <w:tab/>
        <w:t>having regard to Rules 128(5) and 123(</w:t>
      </w:r>
      <w:r w:rsidRPr="00FE74F1">
        <w:rPr>
          <w:color w:val="000000"/>
        </w:rPr>
        <w:t>4</w:t>
      </w:r>
      <w:r>
        <w:rPr>
          <w:color w:val="000000"/>
        </w:rPr>
        <w:t>) of its Rules of Procedure,</w:t>
      </w:r>
    </w:p>
    <w:p w14:paraId="71A4FFDC" w14:textId="7A57A5A6" w:rsidR="00BD6966" w:rsidRPr="00FE74F1" w:rsidRDefault="00BD6966" w:rsidP="00BD6966">
      <w:pPr>
        <w:pStyle w:val="Hanging12"/>
        <w:tabs>
          <w:tab w:val="clear" w:pos="357"/>
          <w:tab w:val="left" w:pos="567"/>
        </w:tabs>
        <w:rPr>
          <w:color w:val="000000"/>
        </w:rPr>
      </w:pPr>
      <w:r>
        <w:rPr>
          <w:color w:val="000000"/>
          <w:szCs w:val="24"/>
        </w:rPr>
        <w:t>A.</w:t>
      </w:r>
      <w:r>
        <w:rPr>
          <w:color w:val="000000"/>
          <w:szCs w:val="24"/>
        </w:rPr>
        <w:tab/>
      </w:r>
      <w:r>
        <w:rPr>
          <w:color w:val="000000"/>
        </w:rPr>
        <w:t xml:space="preserve">whereas the EU is a major global producer of broiler chickens, with approximately 7 billion of them slaughtered for food purposes; whereas the poultry sector, which produces in </w:t>
      </w:r>
      <w:r w:rsidRPr="00FE74F1">
        <w:rPr>
          <w:color w:val="000000"/>
        </w:rPr>
        <w:t>accord</w:t>
      </w:r>
      <w:r>
        <w:rPr>
          <w:color w:val="000000"/>
        </w:rPr>
        <w:t>ance</w:t>
      </w:r>
      <w:r w:rsidRPr="00FE74F1">
        <w:rPr>
          <w:color w:val="000000"/>
        </w:rPr>
        <w:t xml:space="preserve"> </w:t>
      </w:r>
      <w:r>
        <w:rPr>
          <w:color w:val="000000"/>
        </w:rPr>
        <w:t xml:space="preserve">with the European </w:t>
      </w:r>
      <w:r w:rsidR="0040134E">
        <w:rPr>
          <w:color w:val="000000"/>
        </w:rPr>
        <w:t>‘</w:t>
      </w:r>
      <w:r>
        <w:rPr>
          <w:color w:val="000000"/>
        </w:rPr>
        <w:t>Farm to Fork</w:t>
      </w:r>
      <w:r w:rsidR="0040134E">
        <w:rPr>
          <w:color w:val="000000"/>
        </w:rPr>
        <w:t>’</w:t>
      </w:r>
      <w:r>
        <w:rPr>
          <w:color w:val="000000"/>
        </w:rPr>
        <w:t xml:space="preserve"> principle, employs over a quarter of a million people, with 23 000 large broiler farms in Europe;</w:t>
      </w:r>
    </w:p>
    <w:p w14:paraId="61F89175" w14:textId="735123EF" w:rsidR="00BD6966" w:rsidRPr="00FE74F1" w:rsidRDefault="00BD6966" w:rsidP="00BD6966">
      <w:pPr>
        <w:pStyle w:val="Hanging12"/>
        <w:tabs>
          <w:tab w:val="clear" w:pos="357"/>
          <w:tab w:val="left" w:pos="567"/>
        </w:tabs>
        <w:rPr>
          <w:color w:val="000000"/>
        </w:rPr>
      </w:pPr>
      <w:r>
        <w:rPr>
          <w:color w:val="000000"/>
          <w:szCs w:val="24"/>
        </w:rPr>
        <w:t>B.</w:t>
      </w:r>
      <w:r>
        <w:rPr>
          <w:color w:val="000000"/>
          <w:szCs w:val="24"/>
        </w:rPr>
        <w:tab/>
      </w:r>
      <w:r>
        <w:rPr>
          <w:color w:val="000000"/>
        </w:rPr>
        <w:t>whereas Directive 2007/43/EC (the Broiler Directive) lays down minimum standards for the protection of chickens kept for meat production; whereas it is important that the Commission, the Member States and producers respect these rules and pursue regular inspections in this field;</w:t>
      </w:r>
    </w:p>
    <w:p w14:paraId="17F11D22" w14:textId="2B21B725" w:rsidR="00BD6966" w:rsidRPr="00FE74F1" w:rsidRDefault="00BD6966" w:rsidP="00BD6966">
      <w:pPr>
        <w:pStyle w:val="Hanging12"/>
        <w:tabs>
          <w:tab w:val="clear" w:pos="357"/>
          <w:tab w:val="left" w:pos="567"/>
        </w:tabs>
        <w:rPr>
          <w:color w:val="000000"/>
        </w:rPr>
      </w:pPr>
      <w:r>
        <w:rPr>
          <w:color w:val="000000"/>
          <w:szCs w:val="24"/>
        </w:rPr>
        <w:t>C.</w:t>
      </w:r>
      <w:r>
        <w:rPr>
          <w:color w:val="000000"/>
          <w:szCs w:val="24"/>
        </w:rPr>
        <w:tab/>
      </w:r>
      <w:r>
        <w:rPr>
          <w:color w:val="000000"/>
        </w:rPr>
        <w:t xml:space="preserve">whereas according to the Commission study of 21 November 2017 on the application of Council Directive 2007/43/EC, 34 % of broiler chickens are kept at stocking densities </w:t>
      </w:r>
      <w:r w:rsidRPr="00FE74F1">
        <w:rPr>
          <w:color w:val="000000"/>
        </w:rPr>
        <w:t>of 33 kg/m</w:t>
      </w:r>
      <w:r w:rsidRPr="0040134E">
        <w:rPr>
          <w:color w:val="000000"/>
          <w:vertAlign w:val="superscript"/>
        </w:rPr>
        <w:t xml:space="preserve">2 </w:t>
      </w:r>
      <w:r>
        <w:rPr>
          <w:color w:val="000000"/>
        </w:rPr>
        <w:t>in accordance with the general rule, 40 % at densities of between 34-39 kg/m</w:t>
      </w:r>
      <w:r w:rsidRPr="0040134E">
        <w:rPr>
          <w:color w:val="000000"/>
          <w:vertAlign w:val="superscript"/>
        </w:rPr>
        <w:t>2</w:t>
      </w:r>
      <w:r>
        <w:rPr>
          <w:color w:val="000000"/>
        </w:rPr>
        <w:t xml:space="preserve"> and 26 % at the highest density (up to 42 kg/m</w:t>
      </w:r>
      <w:r w:rsidRPr="0040134E">
        <w:rPr>
          <w:color w:val="000000"/>
          <w:vertAlign w:val="superscript"/>
        </w:rPr>
        <w:t>2</w:t>
      </w:r>
      <w:r>
        <w:rPr>
          <w:color w:val="000000"/>
        </w:rPr>
        <w:t>) permitted by the d</w:t>
      </w:r>
      <w:r w:rsidRPr="00FE74F1">
        <w:rPr>
          <w:color w:val="000000"/>
        </w:rPr>
        <w:t>irective</w:t>
      </w:r>
      <w:r>
        <w:rPr>
          <w:color w:val="000000"/>
        </w:rPr>
        <w:t>;</w:t>
      </w:r>
    </w:p>
    <w:p w14:paraId="17F75CD9" w14:textId="72156464" w:rsidR="00BD6966" w:rsidRPr="00FE74F1" w:rsidRDefault="00BD6966" w:rsidP="00BD6966">
      <w:pPr>
        <w:pStyle w:val="Hanging12"/>
        <w:tabs>
          <w:tab w:val="clear" w:pos="357"/>
          <w:tab w:val="left" w:pos="567"/>
        </w:tabs>
        <w:rPr>
          <w:color w:val="000000"/>
        </w:rPr>
      </w:pPr>
      <w:r>
        <w:rPr>
          <w:color w:val="000000"/>
          <w:szCs w:val="24"/>
        </w:rPr>
        <w:t>D.</w:t>
      </w:r>
      <w:r>
        <w:rPr>
          <w:color w:val="000000"/>
          <w:szCs w:val="24"/>
        </w:rPr>
        <w:tab/>
      </w:r>
      <w:r>
        <w:rPr>
          <w:color w:val="000000"/>
        </w:rPr>
        <w:t>whereas enforcement of the Broiler Directive is not uniform and the Commission</w:t>
      </w:r>
      <w:r w:rsidR="0040134E">
        <w:rPr>
          <w:color w:val="000000"/>
        </w:rPr>
        <w:t>’</w:t>
      </w:r>
      <w:r>
        <w:rPr>
          <w:color w:val="000000"/>
        </w:rPr>
        <w:t>s recent implementation report showed that enforcement is at best inconsistent across Member States;</w:t>
      </w:r>
    </w:p>
    <w:p w14:paraId="07B1ACDA" w14:textId="642007AC" w:rsidR="00BD6966" w:rsidRPr="00FE74F1" w:rsidRDefault="00BD6966" w:rsidP="00BD6966">
      <w:pPr>
        <w:pStyle w:val="Hanging12"/>
        <w:tabs>
          <w:tab w:val="clear" w:pos="357"/>
          <w:tab w:val="left" w:pos="567"/>
        </w:tabs>
        <w:rPr>
          <w:color w:val="000000"/>
        </w:rPr>
      </w:pPr>
      <w:r>
        <w:rPr>
          <w:color w:val="000000"/>
          <w:szCs w:val="24"/>
        </w:rPr>
        <w:t>E.</w:t>
      </w:r>
      <w:r>
        <w:rPr>
          <w:color w:val="000000"/>
          <w:szCs w:val="24"/>
        </w:rPr>
        <w:tab/>
      </w:r>
      <w:r>
        <w:rPr>
          <w:color w:val="000000"/>
        </w:rPr>
        <w:t xml:space="preserve">whereas overuse of antimicrobial veterinary medicines, especially as growth promoters and for </w:t>
      </w:r>
      <w:r w:rsidRPr="00FE74F1">
        <w:rPr>
          <w:color w:val="000000"/>
        </w:rPr>
        <w:t>metap</w:t>
      </w:r>
      <w:r>
        <w:rPr>
          <w:color w:val="000000"/>
        </w:rPr>
        <w:t>h</w:t>
      </w:r>
      <w:r w:rsidRPr="00FE74F1">
        <w:rPr>
          <w:color w:val="000000"/>
        </w:rPr>
        <w:t>ylaxis</w:t>
      </w:r>
      <w:r>
        <w:rPr>
          <w:color w:val="000000"/>
        </w:rPr>
        <w:t xml:space="preserve"> and prophylaxis, has been one of the major factors influencing the development of antimicrobial resistance bacteria globally; whereas poor welfare caused by high stocking densities or heat stress can induce immunological deficits and make broiler chickens more susceptible to disease;</w:t>
      </w:r>
    </w:p>
    <w:p w14:paraId="4640EDA1" w14:textId="3BD3361D" w:rsidR="00BD6966" w:rsidRPr="00FE74F1" w:rsidRDefault="00BD6966" w:rsidP="00BD6966">
      <w:pPr>
        <w:pStyle w:val="Hanging12"/>
        <w:tabs>
          <w:tab w:val="clear" w:pos="357"/>
          <w:tab w:val="left" w:pos="567"/>
        </w:tabs>
        <w:rPr>
          <w:color w:val="000000"/>
        </w:rPr>
      </w:pPr>
      <w:r>
        <w:rPr>
          <w:color w:val="000000"/>
          <w:szCs w:val="24"/>
        </w:rPr>
        <w:t>F.</w:t>
      </w:r>
      <w:r>
        <w:rPr>
          <w:color w:val="000000"/>
          <w:szCs w:val="24"/>
        </w:rPr>
        <w:tab/>
      </w:r>
      <w:r>
        <w:rPr>
          <w:color w:val="000000"/>
        </w:rPr>
        <w:t xml:space="preserve">whereas the presence of multi-drug resistant zoonotic strains of </w:t>
      </w:r>
      <w:r>
        <w:rPr>
          <w:i/>
          <w:color w:val="000000"/>
        </w:rPr>
        <w:t>Campylobacter spp.</w:t>
      </w:r>
      <w:r>
        <w:rPr>
          <w:color w:val="000000"/>
        </w:rPr>
        <w:t xml:space="preserve"> and </w:t>
      </w:r>
      <w:r>
        <w:rPr>
          <w:i/>
          <w:color w:val="000000"/>
        </w:rPr>
        <w:t>Salmonella spp.</w:t>
      </w:r>
      <w:r>
        <w:rPr>
          <w:color w:val="000000"/>
        </w:rPr>
        <w:t xml:space="preserve"> in broiler farms and on broiler meat poses an increasing threat to public health, as reported by the European Food Safety Authority (EFSA) and the European Centre for Disease Prevention and Control (ECDC);</w:t>
      </w:r>
    </w:p>
    <w:p w14:paraId="43E90970" w14:textId="2F26684C" w:rsidR="00BD6966" w:rsidRPr="00FE74F1" w:rsidRDefault="00BD6966" w:rsidP="00BD6966">
      <w:pPr>
        <w:pStyle w:val="Hanging12"/>
        <w:tabs>
          <w:tab w:val="clear" w:pos="357"/>
          <w:tab w:val="left" w:pos="567"/>
        </w:tabs>
        <w:rPr>
          <w:color w:val="000000"/>
        </w:rPr>
      </w:pPr>
      <w:r>
        <w:rPr>
          <w:color w:val="000000"/>
          <w:szCs w:val="24"/>
        </w:rPr>
        <w:t>G.</w:t>
      </w:r>
      <w:r>
        <w:rPr>
          <w:color w:val="000000"/>
          <w:szCs w:val="24"/>
        </w:rPr>
        <w:tab/>
      </w:r>
      <w:r>
        <w:rPr>
          <w:color w:val="000000"/>
        </w:rPr>
        <w:t>whereas animal welfare rules should be updated on the basis of new scientific findings and with due regard for the long-term competitiveness of agricultural livestock husbandry; whereas the use of farming systems with higher welfare can improve animal health and welfare outcomes, thus contributing to a reduction in the need for antimicrobials, while continuing to deliver high product quality;</w:t>
      </w:r>
    </w:p>
    <w:p w14:paraId="5E1BE042" w14:textId="04823799" w:rsidR="00BD6966" w:rsidRPr="00FE74F1" w:rsidRDefault="00BD6966" w:rsidP="00BD6966">
      <w:pPr>
        <w:pStyle w:val="Hanging12"/>
        <w:tabs>
          <w:tab w:val="clear" w:pos="357"/>
          <w:tab w:val="left" w:pos="567"/>
        </w:tabs>
        <w:rPr>
          <w:color w:val="000000"/>
        </w:rPr>
      </w:pPr>
      <w:r>
        <w:rPr>
          <w:color w:val="000000"/>
          <w:szCs w:val="24"/>
        </w:rPr>
        <w:t>H.</w:t>
      </w:r>
      <w:r>
        <w:rPr>
          <w:color w:val="000000"/>
          <w:szCs w:val="24"/>
        </w:rPr>
        <w:tab/>
      </w:r>
      <w:r>
        <w:rPr>
          <w:color w:val="000000"/>
        </w:rPr>
        <w:t>whereas the 2010 EFSA s</w:t>
      </w:r>
      <w:r w:rsidRPr="00FE74F1">
        <w:rPr>
          <w:color w:val="000000"/>
        </w:rPr>
        <w:t xml:space="preserve">cientific </w:t>
      </w:r>
      <w:r>
        <w:rPr>
          <w:color w:val="000000"/>
        </w:rPr>
        <w:t>o</w:t>
      </w:r>
      <w:r w:rsidRPr="00FE74F1">
        <w:rPr>
          <w:color w:val="000000"/>
        </w:rPr>
        <w:t>pinion</w:t>
      </w:r>
      <w:r>
        <w:rPr>
          <w:color w:val="000000"/>
        </w:rPr>
        <w:t xml:space="preserve"> on the influence of genetic parameters on the welfare and the resistance to stress of commercial broilers showed that genetic selection based on the growth rates of broiler chickens can compromise the health and welfare of these animals;</w:t>
      </w:r>
    </w:p>
    <w:p w14:paraId="6E772442" w14:textId="77777777" w:rsidR="00BD6966" w:rsidRPr="00FE74F1" w:rsidRDefault="00BD6966" w:rsidP="00BD6966">
      <w:pPr>
        <w:pStyle w:val="Hanging12"/>
        <w:tabs>
          <w:tab w:val="clear" w:pos="357"/>
          <w:tab w:val="left" w:pos="567"/>
        </w:tabs>
        <w:rPr>
          <w:color w:val="000000"/>
        </w:rPr>
      </w:pPr>
      <w:r>
        <w:rPr>
          <w:color w:val="000000"/>
          <w:szCs w:val="24"/>
        </w:rPr>
        <w:t>I.</w:t>
      </w:r>
      <w:r>
        <w:rPr>
          <w:color w:val="000000"/>
          <w:szCs w:val="24"/>
        </w:rPr>
        <w:tab/>
      </w:r>
      <w:r>
        <w:rPr>
          <w:color w:val="000000"/>
        </w:rPr>
        <w:t>whereas European citizens have a strong interest in animal welfare and wish to be able to make more informed choices as consumers;</w:t>
      </w:r>
    </w:p>
    <w:p w14:paraId="6BB6E179" w14:textId="77777777" w:rsidR="00BD6966" w:rsidRPr="00FE74F1" w:rsidRDefault="00BD6966" w:rsidP="00BD6966">
      <w:pPr>
        <w:pStyle w:val="Hanging12"/>
        <w:tabs>
          <w:tab w:val="clear" w:pos="357"/>
          <w:tab w:val="left" w:pos="567"/>
        </w:tabs>
        <w:rPr>
          <w:color w:val="000000"/>
        </w:rPr>
      </w:pPr>
      <w:r>
        <w:rPr>
          <w:color w:val="000000"/>
          <w:szCs w:val="24"/>
        </w:rPr>
        <w:t>J.</w:t>
      </w:r>
      <w:r>
        <w:rPr>
          <w:color w:val="000000"/>
          <w:szCs w:val="24"/>
        </w:rPr>
        <w:tab/>
      </w:r>
      <w:r>
        <w:rPr>
          <w:color w:val="000000"/>
        </w:rPr>
        <w:t>whereas the latest special Eurobarometer on animal welfare shows that more than 50 % of European citizens look for information on the method of production when buying animal products and may be willing to pay more for higher animal welfare; whereas more than 80 % of European citizens want the welfare of farmed animals to be enhanced in the EU;</w:t>
      </w:r>
    </w:p>
    <w:p w14:paraId="61F4D591" w14:textId="129BA773" w:rsidR="00BD6966" w:rsidRPr="00FE74F1" w:rsidRDefault="00BD6966" w:rsidP="00BD6966">
      <w:pPr>
        <w:pStyle w:val="Hanging12"/>
        <w:tabs>
          <w:tab w:val="clear" w:pos="357"/>
          <w:tab w:val="left" w:pos="567"/>
        </w:tabs>
        <w:rPr>
          <w:color w:val="000000"/>
        </w:rPr>
      </w:pPr>
      <w:r>
        <w:rPr>
          <w:color w:val="000000"/>
          <w:szCs w:val="24"/>
        </w:rPr>
        <w:t>K.</w:t>
      </w:r>
      <w:r>
        <w:rPr>
          <w:color w:val="000000"/>
          <w:szCs w:val="24"/>
        </w:rPr>
        <w:tab/>
      </w:r>
      <w:r>
        <w:rPr>
          <w:color w:val="000000"/>
        </w:rPr>
        <w:t>whereas 25 % of the breast poultry meat consumed in the EU is imported from third countries with less strict legislation on animal welfare; whereas most of the imported poultry meat is used in food services or food processing, where information on the origin and labelling of the meat is not mandatory;</w:t>
      </w:r>
    </w:p>
    <w:p w14:paraId="08B20A33" w14:textId="11E68AAD" w:rsidR="00BD6966" w:rsidRPr="00FE74F1" w:rsidRDefault="00BD6966" w:rsidP="00BD6966">
      <w:pPr>
        <w:pStyle w:val="Hanging12"/>
        <w:tabs>
          <w:tab w:val="clear" w:pos="357"/>
          <w:tab w:val="left" w:pos="567"/>
        </w:tabs>
        <w:rPr>
          <w:iCs/>
          <w:color w:val="000000"/>
        </w:rPr>
      </w:pPr>
      <w:r>
        <w:rPr>
          <w:iCs/>
          <w:color w:val="000000"/>
          <w:szCs w:val="24"/>
        </w:rPr>
        <w:t>L.</w:t>
      </w:r>
      <w:r>
        <w:rPr>
          <w:iCs/>
          <w:color w:val="000000"/>
          <w:szCs w:val="24"/>
        </w:rPr>
        <w:tab/>
      </w:r>
      <w:r>
        <w:rPr>
          <w:color w:val="000000"/>
        </w:rPr>
        <w:t>whereas Thailand, Brazil and Ukraine, accounting altogether for 90 % of the imports from third countries, have all been subjected to audits by the Commission</w:t>
      </w:r>
      <w:r w:rsidR="0040134E">
        <w:rPr>
          <w:color w:val="000000"/>
        </w:rPr>
        <w:t>’</w:t>
      </w:r>
      <w:r>
        <w:rPr>
          <w:color w:val="000000"/>
        </w:rPr>
        <w:t xml:space="preserve">s DG SANTE, which have highlighted significant deficiencies in the production process and in respect for EU </w:t>
      </w:r>
      <w:r w:rsidRPr="00FE74F1">
        <w:rPr>
          <w:color w:val="000000"/>
        </w:rPr>
        <w:t>legislation</w:t>
      </w:r>
      <w:r>
        <w:rPr>
          <w:color w:val="000000"/>
        </w:rPr>
        <w:t xml:space="preserve">; </w:t>
      </w:r>
      <w:r>
        <w:rPr>
          <w:iCs/>
          <w:color w:val="000000"/>
        </w:rPr>
        <w:t xml:space="preserve">whereas EU farmers, as well as NGOs, have expressed concerns over the </w:t>
      </w:r>
      <w:r w:rsidRPr="00FE74F1">
        <w:rPr>
          <w:iCs/>
          <w:color w:val="000000"/>
        </w:rPr>
        <w:t>economic</w:t>
      </w:r>
      <w:r>
        <w:rPr>
          <w:iCs/>
          <w:color w:val="000000"/>
        </w:rPr>
        <w:t>,</w:t>
      </w:r>
      <w:r w:rsidRPr="00FE74F1">
        <w:rPr>
          <w:iCs/>
          <w:color w:val="000000"/>
        </w:rPr>
        <w:t xml:space="preserve"> </w:t>
      </w:r>
      <w:r>
        <w:rPr>
          <w:iCs/>
          <w:color w:val="000000"/>
        </w:rPr>
        <w:t>social and environmental impacts of imports of cheaply produced chicken meat and misleading labelling of chicken meat processed in the European Union, but originating from third countries;</w:t>
      </w:r>
    </w:p>
    <w:p w14:paraId="313DF6EF" w14:textId="041583C2" w:rsidR="00BD6966" w:rsidRPr="00FE74F1" w:rsidRDefault="00BD6966" w:rsidP="00BD6966">
      <w:pPr>
        <w:pStyle w:val="Hanging12"/>
        <w:tabs>
          <w:tab w:val="clear" w:pos="357"/>
          <w:tab w:val="left" w:pos="567"/>
        </w:tabs>
        <w:rPr>
          <w:color w:val="000000"/>
        </w:rPr>
      </w:pPr>
      <w:r>
        <w:rPr>
          <w:color w:val="000000"/>
          <w:szCs w:val="24"/>
        </w:rPr>
        <w:t>1.</w:t>
      </w:r>
      <w:r>
        <w:rPr>
          <w:color w:val="000000"/>
          <w:szCs w:val="24"/>
        </w:rPr>
        <w:tab/>
      </w:r>
      <w:r w:rsidRPr="00FE74F1">
        <w:rPr>
          <w:color w:val="000000"/>
        </w:rPr>
        <w:t>Acknowledge</w:t>
      </w:r>
      <w:r>
        <w:rPr>
          <w:color w:val="000000"/>
        </w:rPr>
        <w:t>s the outcomes of the Commission r</w:t>
      </w:r>
      <w:r w:rsidRPr="00FE74F1">
        <w:rPr>
          <w:color w:val="000000"/>
        </w:rPr>
        <w:t>eport</w:t>
      </w:r>
      <w:r>
        <w:rPr>
          <w:color w:val="000000"/>
        </w:rPr>
        <w:t xml:space="preserve"> on the application of Directive 2007/43/EC and its influence on the welfare of chickens kept for meat production indicating that only two thirds of Member States have properly implemented the d</w:t>
      </w:r>
      <w:r w:rsidRPr="00FE74F1">
        <w:rPr>
          <w:color w:val="000000"/>
        </w:rPr>
        <w:t>irective</w:t>
      </w:r>
      <w:r w:rsidR="00C57154">
        <w:rPr>
          <w:color w:val="000000"/>
        </w:rPr>
        <w:t>; i</w:t>
      </w:r>
      <w:r>
        <w:rPr>
          <w:color w:val="000000"/>
        </w:rPr>
        <w:t>s concerned about the predominance, as demonstrated in the report, of high</w:t>
      </w:r>
      <w:r w:rsidR="00C57154">
        <w:rPr>
          <w:color w:val="000000"/>
        </w:rPr>
        <w:t>er</w:t>
      </w:r>
      <w:r>
        <w:rPr>
          <w:color w:val="000000"/>
        </w:rPr>
        <w:t xml:space="preserve"> stocking densities in many places than the general rule of 33 kg/m²;</w:t>
      </w:r>
    </w:p>
    <w:p w14:paraId="3136EF57" w14:textId="7FE3720F" w:rsidR="00BD6966" w:rsidRPr="00FE74F1" w:rsidRDefault="00BD6966" w:rsidP="00BD6966">
      <w:pPr>
        <w:pStyle w:val="Hanging12"/>
        <w:tabs>
          <w:tab w:val="clear" w:pos="357"/>
          <w:tab w:val="left" w:pos="567"/>
        </w:tabs>
        <w:rPr>
          <w:color w:val="000000"/>
        </w:rPr>
      </w:pPr>
      <w:r>
        <w:rPr>
          <w:color w:val="000000"/>
          <w:szCs w:val="24"/>
        </w:rPr>
        <w:t>2.</w:t>
      </w:r>
      <w:r>
        <w:rPr>
          <w:color w:val="000000"/>
          <w:szCs w:val="24"/>
        </w:rPr>
        <w:tab/>
      </w:r>
      <w:r>
        <w:rPr>
          <w:color w:val="000000"/>
        </w:rPr>
        <w:t xml:space="preserve">Is concerned </w:t>
      </w:r>
      <w:r w:rsidR="00C57154">
        <w:rPr>
          <w:color w:val="000000"/>
        </w:rPr>
        <w:t xml:space="preserve">about </w:t>
      </w:r>
      <w:r>
        <w:rPr>
          <w:color w:val="000000"/>
        </w:rPr>
        <w:t>the increase in multi-drug resistant zoonotic agents typically encountered in broiler farming, such as</w:t>
      </w:r>
      <w:r w:rsidRPr="0040134E">
        <w:rPr>
          <w:color w:val="000000"/>
        </w:rPr>
        <w:t xml:space="preserve"> </w:t>
      </w:r>
      <w:r>
        <w:rPr>
          <w:i/>
          <w:color w:val="000000"/>
        </w:rPr>
        <w:t>Campylobacter spp.</w:t>
      </w:r>
      <w:r w:rsidRPr="0040134E">
        <w:rPr>
          <w:color w:val="000000"/>
        </w:rPr>
        <w:t xml:space="preserve">, </w:t>
      </w:r>
      <w:r>
        <w:rPr>
          <w:i/>
          <w:color w:val="000000"/>
        </w:rPr>
        <w:t>Salmonella spp.</w:t>
      </w:r>
      <w:r>
        <w:rPr>
          <w:color w:val="000000"/>
        </w:rPr>
        <w:t xml:space="preserve"> and </w:t>
      </w:r>
      <w:r>
        <w:rPr>
          <w:i/>
          <w:color w:val="000000"/>
        </w:rPr>
        <w:t>E. c</w:t>
      </w:r>
      <w:r w:rsidRPr="00FE74F1">
        <w:rPr>
          <w:i/>
          <w:color w:val="000000"/>
        </w:rPr>
        <w:t>oli</w:t>
      </w:r>
      <w:r>
        <w:rPr>
          <w:color w:val="000000"/>
        </w:rPr>
        <w:t>;</w:t>
      </w:r>
    </w:p>
    <w:p w14:paraId="23889F25" w14:textId="1279F834" w:rsidR="00BD6966" w:rsidRPr="00FE74F1" w:rsidRDefault="00BD6966" w:rsidP="00BD6966">
      <w:pPr>
        <w:pStyle w:val="Hanging12"/>
        <w:tabs>
          <w:tab w:val="clear" w:pos="357"/>
          <w:tab w:val="left" w:pos="567"/>
        </w:tabs>
        <w:rPr>
          <w:color w:val="000000"/>
        </w:rPr>
      </w:pPr>
      <w:r>
        <w:rPr>
          <w:color w:val="000000"/>
          <w:szCs w:val="24"/>
        </w:rPr>
        <w:t>3.</w:t>
      </w:r>
      <w:r>
        <w:rPr>
          <w:color w:val="000000"/>
          <w:szCs w:val="24"/>
        </w:rPr>
        <w:tab/>
      </w:r>
      <w:r>
        <w:rPr>
          <w:color w:val="000000"/>
        </w:rPr>
        <w:t>Recognises the efforts already made by farmers on broiler welfare in the various Member States in implementing the B</w:t>
      </w:r>
      <w:r w:rsidRPr="00FE74F1">
        <w:rPr>
          <w:color w:val="000000"/>
        </w:rPr>
        <w:t>roiler</w:t>
      </w:r>
      <w:r>
        <w:rPr>
          <w:color w:val="000000"/>
        </w:rPr>
        <w:t xml:space="preserve"> Directive and particularly by those partaking in voluntary schemes;</w:t>
      </w:r>
    </w:p>
    <w:p w14:paraId="4B4E0D4E" w14:textId="48BC82A7" w:rsidR="00BD6966" w:rsidRPr="00FE74F1" w:rsidRDefault="00BD6966" w:rsidP="00BD6966">
      <w:pPr>
        <w:pStyle w:val="Hanging12"/>
        <w:tabs>
          <w:tab w:val="clear" w:pos="357"/>
          <w:tab w:val="left" w:pos="567"/>
        </w:tabs>
        <w:rPr>
          <w:color w:val="000000"/>
        </w:rPr>
      </w:pPr>
      <w:r>
        <w:rPr>
          <w:color w:val="000000"/>
          <w:szCs w:val="24"/>
        </w:rPr>
        <w:t>4.</w:t>
      </w:r>
      <w:r>
        <w:rPr>
          <w:color w:val="000000"/>
          <w:szCs w:val="24"/>
        </w:rPr>
        <w:tab/>
      </w:r>
      <w:r>
        <w:rPr>
          <w:color w:val="000000"/>
        </w:rPr>
        <w:t xml:space="preserve">Calls on the Commission and Member States to ensure a </w:t>
      </w:r>
      <w:r w:rsidRPr="00FE74F1">
        <w:rPr>
          <w:color w:val="000000"/>
        </w:rPr>
        <w:t>harmoni</w:t>
      </w:r>
      <w:r>
        <w:rPr>
          <w:color w:val="000000"/>
        </w:rPr>
        <w:t>s</w:t>
      </w:r>
      <w:r w:rsidRPr="00FE74F1">
        <w:rPr>
          <w:color w:val="000000"/>
        </w:rPr>
        <w:t>ed</w:t>
      </w:r>
      <w:r>
        <w:rPr>
          <w:color w:val="000000"/>
        </w:rPr>
        <w:t xml:space="preserve"> implementation and full enforcement of Directive 2007/43/EC in terms of building specifications and safety to ensure the objectives of the d</w:t>
      </w:r>
      <w:r w:rsidRPr="00FE74F1">
        <w:rPr>
          <w:color w:val="000000"/>
        </w:rPr>
        <w:t>irective</w:t>
      </w:r>
      <w:r>
        <w:rPr>
          <w:color w:val="000000"/>
        </w:rPr>
        <w:t>;</w:t>
      </w:r>
    </w:p>
    <w:p w14:paraId="0C615264" w14:textId="77777777" w:rsidR="00BD6966" w:rsidRPr="00FE74F1" w:rsidRDefault="00BD6966" w:rsidP="00BD6966">
      <w:pPr>
        <w:pStyle w:val="Hanging12"/>
        <w:tabs>
          <w:tab w:val="clear" w:pos="357"/>
          <w:tab w:val="left" w:pos="567"/>
        </w:tabs>
        <w:rPr>
          <w:color w:val="000000"/>
        </w:rPr>
      </w:pPr>
      <w:r>
        <w:rPr>
          <w:color w:val="000000"/>
          <w:szCs w:val="24"/>
        </w:rPr>
        <w:t>5.</w:t>
      </w:r>
      <w:r>
        <w:rPr>
          <w:color w:val="000000"/>
          <w:szCs w:val="24"/>
        </w:rPr>
        <w:tab/>
      </w:r>
      <w:r>
        <w:rPr>
          <w:color w:val="000000"/>
        </w:rPr>
        <w:t>Stresses that unfair competition leads to an uneven playing field, as those who are non-compliant undercut those who comply with the rules;</w:t>
      </w:r>
    </w:p>
    <w:p w14:paraId="0CA26CC5" w14:textId="02ED11BF" w:rsidR="00BD6966" w:rsidRPr="00FE74F1" w:rsidRDefault="00BD6966" w:rsidP="00BD6966">
      <w:pPr>
        <w:pStyle w:val="Hanging12"/>
        <w:tabs>
          <w:tab w:val="clear" w:pos="357"/>
          <w:tab w:val="left" w:pos="567"/>
        </w:tabs>
        <w:rPr>
          <w:color w:val="000000"/>
        </w:rPr>
      </w:pPr>
      <w:r>
        <w:rPr>
          <w:color w:val="000000"/>
          <w:szCs w:val="24"/>
        </w:rPr>
        <w:t>6.</w:t>
      </w:r>
      <w:r>
        <w:rPr>
          <w:color w:val="000000"/>
          <w:szCs w:val="24"/>
        </w:rPr>
        <w:tab/>
      </w:r>
      <w:r>
        <w:rPr>
          <w:color w:val="000000"/>
        </w:rPr>
        <w:t>Calls on the Commission to ensure robust and measurable harmonised animal welfare indicators for broiler chickens and parent stock, including guidance for best available practices for hatcheries;</w:t>
      </w:r>
    </w:p>
    <w:p w14:paraId="4E337C03" w14:textId="5BCE6E07" w:rsidR="00BD6966" w:rsidRPr="00FE74F1" w:rsidRDefault="00BD6966" w:rsidP="00BD6966">
      <w:pPr>
        <w:pStyle w:val="Hanging12"/>
        <w:tabs>
          <w:tab w:val="clear" w:pos="357"/>
          <w:tab w:val="left" w:pos="567"/>
        </w:tabs>
        <w:rPr>
          <w:color w:val="000000"/>
        </w:rPr>
      </w:pPr>
      <w:r>
        <w:rPr>
          <w:color w:val="000000"/>
          <w:szCs w:val="24"/>
        </w:rPr>
        <w:t>7.</w:t>
      </w:r>
      <w:r>
        <w:rPr>
          <w:color w:val="000000"/>
          <w:szCs w:val="24"/>
        </w:rPr>
        <w:tab/>
      </w:r>
      <w:r>
        <w:rPr>
          <w:color w:val="000000"/>
        </w:rPr>
        <w:t>Calls on the Commission and Member States to tackle poultry housing fires by promoting best practices; calls on the Member States to make full provision for appropriate and sufficient training courses for keepers, as set out in Directive 2007/43/EC;</w:t>
      </w:r>
    </w:p>
    <w:p w14:paraId="28294CA4" w14:textId="195FF1BE" w:rsidR="00BD6966" w:rsidRPr="00FE74F1" w:rsidRDefault="00BD6966" w:rsidP="00BD6966">
      <w:pPr>
        <w:pStyle w:val="Hanging12"/>
        <w:tabs>
          <w:tab w:val="clear" w:pos="357"/>
          <w:tab w:val="left" w:pos="567"/>
        </w:tabs>
        <w:rPr>
          <w:color w:val="000000"/>
        </w:rPr>
      </w:pPr>
      <w:r>
        <w:rPr>
          <w:color w:val="000000"/>
          <w:szCs w:val="24"/>
        </w:rPr>
        <w:t>8.</w:t>
      </w:r>
      <w:r>
        <w:rPr>
          <w:color w:val="000000"/>
          <w:szCs w:val="24"/>
        </w:rPr>
        <w:tab/>
      </w:r>
      <w:r>
        <w:rPr>
          <w:color w:val="000000"/>
        </w:rPr>
        <w:t xml:space="preserve">Calls for EFSA to produce an opinion on the prevalence and risk factors for antimicrobial-resistant </w:t>
      </w:r>
      <w:r>
        <w:rPr>
          <w:i/>
          <w:color w:val="000000"/>
        </w:rPr>
        <w:t>Campylobacter spp.</w:t>
      </w:r>
      <w:r w:rsidRPr="0040134E">
        <w:rPr>
          <w:color w:val="000000"/>
        </w:rPr>
        <w:t xml:space="preserve">, </w:t>
      </w:r>
      <w:r>
        <w:rPr>
          <w:i/>
          <w:color w:val="000000"/>
        </w:rPr>
        <w:t>Salmonella spp.</w:t>
      </w:r>
      <w:r>
        <w:rPr>
          <w:color w:val="000000"/>
        </w:rPr>
        <w:t xml:space="preserve"> and </w:t>
      </w:r>
      <w:r>
        <w:rPr>
          <w:i/>
          <w:color w:val="000000"/>
        </w:rPr>
        <w:t>E. c</w:t>
      </w:r>
      <w:r w:rsidRPr="00FE74F1">
        <w:rPr>
          <w:i/>
          <w:color w:val="000000"/>
        </w:rPr>
        <w:t>oli</w:t>
      </w:r>
      <w:r>
        <w:rPr>
          <w:color w:val="000000"/>
        </w:rPr>
        <w:t xml:space="preserve"> with zoonotic potential;</w:t>
      </w:r>
    </w:p>
    <w:p w14:paraId="536E0957" w14:textId="638AA97D" w:rsidR="00BD6966" w:rsidRPr="00FE74F1" w:rsidRDefault="00BD6966" w:rsidP="00BD6966">
      <w:pPr>
        <w:pStyle w:val="Hanging12"/>
        <w:tabs>
          <w:tab w:val="clear" w:pos="357"/>
          <w:tab w:val="left" w:pos="567"/>
        </w:tabs>
        <w:rPr>
          <w:color w:val="000000"/>
        </w:rPr>
      </w:pPr>
      <w:r>
        <w:rPr>
          <w:color w:val="000000"/>
          <w:szCs w:val="24"/>
        </w:rPr>
        <w:t>9.</w:t>
      </w:r>
      <w:r>
        <w:rPr>
          <w:color w:val="000000"/>
          <w:szCs w:val="24"/>
        </w:rPr>
        <w:tab/>
      </w:r>
      <w:r>
        <w:rPr>
          <w:color w:val="000000"/>
        </w:rPr>
        <w:t>Welcomes the agreement on the Veterinary Medicinal Products Regulation reached on 5</w:t>
      </w:r>
      <w:r w:rsidR="00F22C18">
        <w:rPr>
          <w:color w:val="000000"/>
        </w:rPr>
        <w:t> </w:t>
      </w:r>
      <w:r>
        <w:rPr>
          <w:color w:val="000000"/>
        </w:rPr>
        <w:t>June 2018; welcomes the provisions laid down to restrict the use of antibiotics for meta- and prophylaxis</w:t>
      </w:r>
      <w:r w:rsidR="00C57154">
        <w:rPr>
          <w:color w:val="000000"/>
        </w:rPr>
        <w:t>;</w:t>
      </w:r>
      <w:r>
        <w:rPr>
          <w:color w:val="000000"/>
        </w:rPr>
        <w:t xml:space="preserve"> </w:t>
      </w:r>
      <w:r>
        <w:rPr>
          <w:bCs/>
          <w:color w:val="000000"/>
        </w:rPr>
        <w:t>recalls its position on preventive measures and the EMA/EFSA joint scientific opinion</w:t>
      </w:r>
      <w:r w:rsidRPr="00BD6966">
        <w:rPr>
          <w:rStyle w:val="FootnoteReference"/>
          <w:rFonts w:eastAsia="Calibri"/>
          <w:bCs/>
          <w:color w:val="000000"/>
        </w:rPr>
        <w:footnoteReference w:id="7"/>
      </w:r>
      <w:r>
        <w:rPr>
          <w:bCs/>
          <w:color w:val="000000"/>
        </w:rPr>
        <w:t xml:space="preserve"> calling for:</w:t>
      </w:r>
      <w:r>
        <w:rPr>
          <w:color w:val="000000"/>
        </w:rPr>
        <w:t xml:space="preserve"> </w:t>
      </w:r>
      <w:r>
        <w:rPr>
          <w:bCs/>
          <w:color w:val="000000"/>
        </w:rPr>
        <w:t>the use of breeding stock that grows more healthily and slowly, stocking</w:t>
      </w:r>
      <w:r>
        <w:rPr>
          <w:bCs/>
          <w:iCs/>
          <w:color w:val="000000"/>
        </w:rPr>
        <w:t xml:space="preserve"> </w:t>
      </w:r>
      <w:r>
        <w:rPr>
          <w:bCs/>
          <w:color w:val="000000"/>
        </w:rPr>
        <w:t xml:space="preserve">densities that do not increase the risk of disease, smaller groups, isolation of sick animals (Article 10 of Regulation (EU) 2016/429), and implementation of existing welfare laws; trusts </w:t>
      </w:r>
      <w:r>
        <w:rPr>
          <w:color w:val="000000"/>
        </w:rPr>
        <w:t>that the r</w:t>
      </w:r>
      <w:r w:rsidRPr="00FE74F1">
        <w:rPr>
          <w:color w:val="000000"/>
        </w:rPr>
        <w:t>egulation</w:t>
      </w:r>
      <w:r>
        <w:rPr>
          <w:color w:val="000000"/>
        </w:rPr>
        <w:t xml:space="preserve"> will facilitate the much-needed </w:t>
      </w:r>
      <w:r>
        <w:rPr>
          <w:bCs/>
          <w:color w:val="000000"/>
        </w:rPr>
        <w:t xml:space="preserve">action on antimicrobial resistance (AMR) </w:t>
      </w:r>
      <w:r w:rsidR="000710CB">
        <w:rPr>
          <w:bCs/>
          <w:color w:val="000000"/>
        </w:rPr>
        <w:t>and stimulate</w:t>
      </w:r>
      <w:r>
        <w:rPr>
          <w:bCs/>
          <w:color w:val="000000"/>
        </w:rPr>
        <w:t xml:space="preserve"> </w:t>
      </w:r>
      <w:r>
        <w:rPr>
          <w:color w:val="000000"/>
        </w:rPr>
        <w:t xml:space="preserve">innovation in the field of veterinary </w:t>
      </w:r>
      <w:r w:rsidRPr="00FE74F1">
        <w:rPr>
          <w:color w:val="000000"/>
        </w:rPr>
        <w:t>medicine</w:t>
      </w:r>
      <w:r>
        <w:rPr>
          <w:color w:val="000000"/>
        </w:rPr>
        <w:t>; considers that the European poultry sector and national authorities are undertaking initiatives to reduce the use of antibiotics through the modernisation of poultry farms;</w:t>
      </w:r>
    </w:p>
    <w:p w14:paraId="3F693FAC" w14:textId="23C4BB1B" w:rsidR="00BD6966" w:rsidRPr="00FE74F1" w:rsidRDefault="00BD6966" w:rsidP="00BD6966">
      <w:pPr>
        <w:pStyle w:val="Hanging12"/>
        <w:tabs>
          <w:tab w:val="clear" w:pos="357"/>
          <w:tab w:val="left" w:pos="567"/>
        </w:tabs>
        <w:rPr>
          <w:color w:val="000000"/>
        </w:rPr>
      </w:pPr>
      <w:r>
        <w:rPr>
          <w:color w:val="000000"/>
          <w:szCs w:val="24"/>
        </w:rPr>
        <w:t>10.</w:t>
      </w:r>
      <w:r>
        <w:rPr>
          <w:color w:val="000000"/>
          <w:szCs w:val="24"/>
        </w:rPr>
        <w:tab/>
      </w:r>
      <w:r>
        <w:rPr>
          <w:color w:val="000000"/>
        </w:rPr>
        <w:t>Stresses that improved animal husbandry techniques lead to a better quality of life for poultry and reduce the need to use antimicrobials, examples of such improvements being providing natural light, clean air and more space, and reducing ammonia; reminds the Commission of the statement set out in the Animal Health Strategy and the significant promotion that prevention is better than cure;</w:t>
      </w:r>
    </w:p>
    <w:p w14:paraId="43BC86FF" w14:textId="5E7FCA8E" w:rsidR="00BD6966" w:rsidRPr="00FE74F1" w:rsidRDefault="00BD6966" w:rsidP="00BD6966">
      <w:pPr>
        <w:pStyle w:val="Hanging12"/>
        <w:tabs>
          <w:tab w:val="clear" w:pos="357"/>
          <w:tab w:val="left" w:pos="567"/>
        </w:tabs>
        <w:rPr>
          <w:color w:val="000000"/>
        </w:rPr>
      </w:pPr>
      <w:r>
        <w:rPr>
          <w:color w:val="000000"/>
          <w:szCs w:val="24"/>
        </w:rPr>
        <w:t>11.</w:t>
      </w:r>
      <w:r>
        <w:rPr>
          <w:color w:val="000000"/>
          <w:szCs w:val="24"/>
        </w:rPr>
        <w:tab/>
      </w:r>
      <w:r>
        <w:rPr>
          <w:color w:val="000000"/>
        </w:rPr>
        <w:t xml:space="preserve">Stresses that animal welfare serves as a preventive measure in itself, contributing to reducing the risk of the animal becoming ill and thereby lowering the use of antimicrobials and delivering production results that are often higher; notes that the </w:t>
      </w:r>
      <w:r w:rsidRPr="00FE74F1">
        <w:rPr>
          <w:color w:val="000000"/>
        </w:rPr>
        <w:t>incorrect</w:t>
      </w:r>
      <w:r>
        <w:rPr>
          <w:color w:val="000000"/>
        </w:rPr>
        <w:t xml:space="preserve"> use of antimicrobials could render them ineffective, which would consequently be a danger for human health;</w:t>
      </w:r>
    </w:p>
    <w:p w14:paraId="3293B27D" w14:textId="77777777" w:rsidR="00BD6966" w:rsidRPr="00FE74F1" w:rsidRDefault="00BD6966" w:rsidP="00BD6966">
      <w:pPr>
        <w:pStyle w:val="Hanging12"/>
        <w:tabs>
          <w:tab w:val="clear" w:pos="357"/>
          <w:tab w:val="left" w:pos="567"/>
        </w:tabs>
        <w:rPr>
          <w:iCs/>
          <w:color w:val="000000"/>
        </w:rPr>
      </w:pPr>
      <w:r>
        <w:rPr>
          <w:iCs/>
          <w:color w:val="000000"/>
          <w:szCs w:val="24"/>
        </w:rPr>
        <w:t>12.</w:t>
      </w:r>
      <w:r>
        <w:rPr>
          <w:iCs/>
          <w:color w:val="000000"/>
          <w:szCs w:val="24"/>
        </w:rPr>
        <w:tab/>
      </w:r>
      <w:r>
        <w:rPr>
          <w:iCs/>
          <w:color w:val="000000"/>
        </w:rPr>
        <w:t>Calls on the Commission to enhance AMR research and best practices and to ensure that preventive measures such as disease surveillance and controls are carried out effectively by Member States;</w:t>
      </w:r>
    </w:p>
    <w:p w14:paraId="673334AF" w14:textId="678A9F12" w:rsidR="00BD6966" w:rsidRPr="00FE74F1" w:rsidRDefault="00BD6966" w:rsidP="00BD6966">
      <w:pPr>
        <w:pStyle w:val="Hanging12"/>
        <w:tabs>
          <w:tab w:val="clear" w:pos="357"/>
          <w:tab w:val="left" w:pos="567"/>
        </w:tabs>
        <w:rPr>
          <w:iCs/>
          <w:color w:val="000000"/>
        </w:rPr>
      </w:pPr>
      <w:r>
        <w:rPr>
          <w:iCs/>
          <w:color w:val="000000"/>
          <w:szCs w:val="24"/>
        </w:rPr>
        <w:t>13.</w:t>
      </w:r>
      <w:r>
        <w:rPr>
          <w:iCs/>
          <w:color w:val="000000"/>
          <w:szCs w:val="24"/>
        </w:rPr>
        <w:tab/>
      </w:r>
      <w:r>
        <w:rPr>
          <w:iCs/>
          <w:color w:val="000000"/>
        </w:rPr>
        <w:t xml:space="preserve">Calls </w:t>
      </w:r>
      <w:r w:rsidRPr="00FE74F1">
        <w:rPr>
          <w:iCs/>
          <w:color w:val="000000"/>
        </w:rPr>
        <w:t>on</w:t>
      </w:r>
      <w:r>
        <w:rPr>
          <w:iCs/>
          <w:color w:val="000000"/>
        </w:rPr>
        <w:t xml:space="preserve"> the Commission to promote policies encouraging the uptake of alternative rearing systems for broiler chickens, as well as of traditional and/or broiler breeds that allow for higher welfare;</w:t>
      </w:r>
    </w:p>
    <w:p w14:paraId="3278FE28" w14:textId="4C056E8C" w:rsidR="00BD6966" w:rsidRPr="00FE74F1" w:rsidRDefault="00BD6966" w:rsidP="00BD6966">
      <w:pPr>
        <w:pStyle w:val="Hanging12"/>
        <w:tabs>
          <w:tab w:val="clear" w:pos="357"/>
          <w:tab w:val="left" w:pos="567"/>
        </w:tabs>
        <w:rPr>
          <w:iCs/>
          <w:color w:val="000000"/>
        </w:rPr>
      </w:pPr>
      <w:r>
        <w:rPr>
          <w:iCs/>
          <w:color w:val="000000"/>
          <w:szCs w:val="24"/>
        </w:rPr>
        <w:t>14.</w:t>
      </w:r>
      <w:r>
        <w:rPr>
          <w:iCs/>
          <w:color w:val="000000"/>
          <w:szCs w:val="24"/>
        </w:rPr>
        <w:tab/>
      </w:r>
      <w:r>
        <w:rPr>
          <w:iCs/>
          <w:color w:val="000000"/>
        </w:rPr>
        <w:t>Calls on the Commission to draw up a roadmap to support competitive and sustainable poultry meat production and breeding which ensures higher welfare for broiler chickens;</w:t>
      </w:r>
    </w:p>
    <w:p w14:paraId="66BB238A" w14:textId="4D40E4D8" w:rsidR="00BD6966" w:rsidRPr="00FE74F1" w:rsidRDefault="00BD6966" w:rsidP="00BD6966">
      <w:pPr>
        <w:pStyle w:val="Hanging12"/>
        <w:tabs>
          <w:tab w:val="clear" w:pos="357"/>
          <w:tab w:val="left" w:pos="567"/>
        </w:tabs>
        <w:rPr>
          <w:color w:val="000000"/>
        </w:rPr>
      </w:pPr>
      <w:r>
        <w:rPr>
          <w:color w:val="000000"/>
          <w:szCs w:val="24"/>
        </w:rPr>
        <w:t>15.</w:t>
      </w:r>
      <w:r>
        <w:rPr>
          <w:color w:val="000000"/>
          <w:szCs w:val="24"/>
        </w:rPr>
        <w:tab/>
      </w:r>
      <w:r>
        <w:rPr>
          <w:color w:val="000000"/>
        </w:rPr>
        <w:t>Calls on the Commission to reinforce controls performed at borders on imported poultry meat from third countries to make sure these imports comply with EU legislation on animal welfare, food safety and the environment;</w:t>
      </w:r>
    </w:p>
    <w:p w14:paraId="344F4B43" w14:textId="77777777" w:rsidR="00BD6966" w:rsidRPr="00FE74F1" w:rsidRDefault="00BD6966" w:rsidP="00BD6966">
      <w:pPr>
        <w:pStyle w:val="Hanging12"/>
        <w:tabs>
          <w:tab w:val="clear" w:pos="357"/>
          <w:tab w:val="left" w:pos="567"/>
        </w:tabs>
        <w:rPr>
          <w:color w:val="000000"/>
        </w:rPr>
      </w:pPr>
      <w:r>
        <w:rPr>
          <w:color w:val="000000"/>
          <w:szCs w:val="24"/>
        </w:rPr>
        <w:t>16.</w:t>
      </w:r>
      <w:r>
        <w:rPr>
          <w:color w:val="000000"/>
          <w:szCs w:val="24"/>
        </w:rPr>
        <w:tab/>
      </w:r>
      <w:r>
        <w:rPr>
          <w:color w:val="000000"/>
        </w:rPr>
        <w:t>Stresses that imports of chicken meat from countries with lower environmental, social, food safety and animal welfare standards have increased; calls on the Commission to ensure that imported chicken meat, meat products and preparations have been produced in line with the environmental, social, food safety and animal welfare standards of the Union in order to guarantee a fair and level playing field for EU producers;</w:t>
      </w:r>
    </w:p>
    <w:p w14:paraId="610712EB" w14:textId="73F3D8F8" w:rsidR="00BD6966" w:rsidRPr="00FE74F1" w:rsidRDefault="00BD6966" w:rsidP="00BD6966">
      <w:pPr>
        <w:pStyle w:val="Hanging12"/>
        <w:tabs>
          <w:tab w:val="clear" w:pos="357"/>
          <w:tab w:val="left" w:pos="567"/>
        </w:tabs>
        <w:rPr>
          <w:color w:val="000000"/>
        </w:rPr>
      </w:pPr>
      <w:r>
        <w:rPr>
          <w:color w:val="000000"/>
          <w:szCs w:val="24"/>
        </w:rPr>
        <w:t>17.</w:t>
      </w:r>
      <w:r>
        <w:rPr>
          <w:color w:val="000000"/>
          <w:szCs w:val="24"/>
        </w:rPr>
        <w:tab/>
      </w:r>
      <w:r>
        <w:rPr>
          <w:color w:val="000000"/>
        </w:rPr>
        <w:t xml:space="preserve">Calls on the Commission to propose legislation on mandatory labelling of the origin of imported meat in EU processed products in the retail, catering and food </w:t>
      </w:r>
      <w:r w:rsidRPr="00FE74F1">
        <w:rPr>
          <w:color w:val="000000"/>
        </w:rPr>
        <w:t>service</w:t>
      </w:r>
      <w:r>
        <w:rPr>
          <w:color w:val="000000"/>
        </w:rPr>
        <w:t>s so that consumers can make an informed choice;</w:t>
      </w:r>
    </w:p>
    <w:p w14:paraId="676DA972" w14:textId="2709F454" w:rsidR="00BD6966" w:rsidRPr="00FE74F1" w:rsidRDefault="00BD6966" w:rsidP="00BD6966">
      <w:pPr>
        <w:pStyle w:val="Hanging12"/>
        <w:tabs>
          <w:tab w:val="clear" w:pos="357"/>
          <w:tab w:val="left" w:pos="567"/>
        </w:tabs>
        <w:rPr>
          <w:color w:val="000000"/>
        </w:rPr>
      </w:pPr>
      <w:r>
        <w:rPr>
          <w:color w:val="000000"/>
          <w:szCs w:val="24"/>
        </w:rPr>
        <w:t>18.</w:t>
      </w:r>
      <w:r>
        <w:rPr>
          <w:color w:val="000000"/>
          <w:szCs w:val="24"/>
        </w:rPr>
        <w:tab/>
      </w:r>
      <w:r>
        <w:rPr>
          <w:color w:val="000000"/>
        </w:rPr>
        <w:t>Calls on the Commission to establish an EU method of production marking for broiler chickens similar to the existing EU method for eggs, in order to improve transparency and communication to consumers on animal welfare in agricultural production;</w:t>
      </w:r>
    </w:p>
    <w:p w14:paraId="750A5FB7" w14:textId="41356F0C" w:rsidR="00BD6966" w:rsidRPr="00FE74F1" w:rsidRDefault="00BD6966" w:rsidP="00BD6966">
      <w:pPr>
        <w:pStyle w:val="Hanging12"/>
        <w:tabs>
          <w:tab w:val="clear" w:pos="357"/>
          <w:tab w:val="left" w:pos="567"/>
        </w:tabs>
        <w:rPr>
          <w:color w:val="000000"/>
        </w:rPr>
      </w:pPr>
      <w:r>
        <w:rPr>
          <w:color w:val="000000"/>
          <w:szCs w:val="24"/>
        </w:rPr>
        <w:t>19.</w:t>
      </w:r>
      <w:r>
        <w:rPr>
          <w:color w:val="000000"/>
          <w:szCs w:val="24"/>
        </w:rPr>
        <w:tab/>
      </w:r>
      <w:r>
        <w:rPr>
          <w:color w:val="000000"/>
        </w:rPr>
        <w:t>Instructs its President to forward this resolution to the Commission and the Member States.</w:t>
      </w:r>
    </w:p>
    <w:p w14:paraId="2A06DF80" w14:textId="77777777" w:rsidR="009D33CF" w:rsidRPr="00913F8A" w:rsidRDefault="009D33CF" w:rsidP="00913F8A">
      <w:pPr>
        <w:pStyle w:val="Hanging12"/>
        <w:tabs>
          <w:tab w:val="clear" w:pos="357"/>
          <w:tab w:val="left" w:pos="567"/>
        </w:tabs>
      </w:pPr>
    </w:p>
    <w:sectPr w:rsidR="009D33CF" w:rsidRPr="00913F8A"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F4900" w14:textId="77777777" w:rsidR="00543433" w:rsidRPr="00543433" w:rsidRDefault="00543433">
      <w:r w:rsidRPr="00543433">
        <w:separator/>
      </w:r>
    </w:p>
  </w:endnote>
  <w:endnote w:type="continuationSeparator" w:id="0">
    <w:p w14:paraId="5989E846" w14:textId="77777777" w:rsidR="00543433" w:rsidRPr="00543433" w:rsidRDefault="00543433">
      <w:r w:rsidRPr="005434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7B94" w14:textId="47824E2A" w:rsidR="00C55061" w:rsidRPr="00543433" w:rsidRDefault="00C55061" w:rsidP="00554F5C">
    <w:pPr>
      <w:pStyle w:val="Footer"/>
      <w:tabs>
        <w:tab w:val="center" w:pos="4536"/>
      </w:tabs>
    </w:pPr>
    <w:r w:rsidRPr="00543433">
      <w:rPr>
        <w:rStyle w:val="HideTWBExt"/>
        <w:noProof w:val="0"/>
        <w:sz w:val="22"/>
      </w:rPr>
      <w:t>&lt;</w:t>
    </w:r>
    <w:r w:rsidRPr="00543433">
      <w:rPr>
        <w:rStyle w:val="HideTWBExt"/>
        <w:noProof w:val="0"/>
      </w:rPr>
      <w:t>PathFdR</w:t>
    </w:r>
    <w:r w:rsidRPr="00543433">
      <w:rPr>
        <w:rStyle w:val="HideTWBExt"/>
        <w:noProof w:val="0"/>
        <w:sz w:val="22"/>
      </w:rPr>
      <w:t>&gt;</w:t>
    </w:r>
    <w:r w:rsidR="00336C0A" w:rsidRPr="00336C0A">
      <w:t>RC\1166884EN.docx</w:t>
    </w:r>
    <w:r w:rsidRPr="00543433">
      <w:rPr>
        <w:rStyle w:val="HideTWBExt"/>
        <w:noProof w:val="0"/>
        <w:sz w:val="22"/>
      </w:rPr>
      <w:t>&lt;/</w:t>
    </w:r>
    <w:r w:rsidRPr="00543433">
      <w:rPr>
        <w:rStyle w:val="HideTWBExt"/>
        <w:noProof w:val="0"/>
      </w:rPr>
      <w:t>PathFdR</w:t>
    </w:r>
    <w:r w:rsidRPr="00543433">
      <w:rPr>
        <w:rStyle w:val="HideTWBExt"/>
        <w:noProof w:val="0"/>
        <w:sz w:val="22"/>
      </w:rPr>
      <w:t>&gt;</w:t>
    </w:r>
    <w:r w:rsidR="00B011CF" w:rsidRPr="00543433">
      <w:t xml:space="preserve"> </w:t>
    </w:r>
    <w:r w:rsidR="00AA1D6D" w:rsidRPr="00543433">
      <w:tab/>
    </w:r>
    <w:r w:rsidR="00336C0A">
      <w:fldChar w:fldCharType="begin"/>
    </w:r>
    <w:r w:rsidR="00336C0A">
      <w:instrText xml:space="preserve"> PAGE  \* MERGEFORMAT </w:instrText>
    </w:r>
    <w:r w:rsidR="00336C0A">
      <w:fldChar w:fldCharType="separate"/>
    </w:r>
    <w:r w:rsidR="0040134E">
      <w:rPr>
        <w:noProof/>
      </w:rPr>
      <w:t>2</w:t>
    </w:r>
    <w:r w:rsidR="00336C0A">
      <w:fldChar w:fldCharType="end"/>
    </w:r>
    <w:r w:rsidR="00336C0A">
      <w:t>/</w:t>
    </w:r>
    <w:r w:rsidR="000D04C6">
      <w:rPr>
        <w:noProof/>
      </w:rPr>
      <w:fldChar w:fldCharType="begin"/>
    </w:r>
    <w:r w:rsidR="000D04C6">
      <w:rPr>
        <w:noProof/>
      </w:rPr>
      <w:instrText xml:space="preserve"> NUMPAGES  \* MERGEFORMAT </w:instrText>
    </w:r>
    <w:r w:rsidR="000D04C6">
      <w:rPr>
        <w:noProof/>
      </w:rPr>
      <w:fldChar w:fldCharType="separate"/>
    </w:r>
    <w:r w:rsidR="0040134E">
      <w:rPr>
        <w:noProof/>
      </w:rPr>
      <w:t>7</w:t>
    </w:r>
    <w:r w:rsidR="000D04C6">
      <w:rPr>
        <w:noProof/>
      </w:rPr>
      <w:fldChar w:fldCharType="end"/>
    </w:r>
    <w:r w:rsidRPr="00543433">
      <w:tab/>
      <w:t>PE</w:t>
    </w:r>
    <w:r w:rsidRPr="00543433">
      <w:rPr>
        <w:rStyle w:val="HideTWBExt"/>
        <w:noProof w:val="0"/>
        <w:sz w:val="22"/>
      </w:rPr>
      <w:t>&lt;</w:t>
    </w:r>
    <w:r w:rsidRPr="00543433">
      <w:rPr>
        <w:rStyle w:val="HideTWBExt"/>
        <w:noProof w:val="0"/>
      </w:rPr>
      <w:t>NoPE&gt;</w:t>
    </w:r>
    <w:r w:rsidR="00336C0A" w:rsidRPr="00336C0A">
      <w:t>624.175</w:t>
    </w:r>
    <w:r w:rsidRPr="00543433">
      <w:rPr>
        <w:rStyle w:val="HideTWBExt"/>
        <w:noProof w:val="0"/>
      </w:rPr>
      <w:t>&lt;/NoPE&gt;&lt;Version&gt;</w:t>
    </w:r>
    <w:r w:rsidR="00543433" w:rsidRPr="00543433">
      <w:t>v</w:t>
    </w:r>
    <w:r w:rsidR="00336C0A" w:rsidRPr="00336C0A">
      <w:t>01-00</w:t>
    </w:r>
    <w:r w:rsidRPr="00543433">
      <w:rPr>
        <w:rStyle w:val="HideTWBExt"/>
        <w:noProof w:val="0"/>
      </w:rPr>
      <w:t>&lt;/Version</w:t>
    </w:r>
    <w:r w:rsidRPr="00543433">
      <w:rPr>
        <w:rStyle w:val="HideTWBExt"/>
        <w:noProof w:val="0"/>
        <w:sz w:val="22"/>
      </w:rPr>
      <w:t>&gt;</w:t>
    </w:r>
    <w:r w:rsidRPr="00543433">
      <w:t xml:space="preserve"> }</w:t>
    </w:r>
  </w:p>
  <w:p w14:paraId="0D36E1EB" w14:textId="77777777" w:rsidR="00336C0A" w:rsidRPr="00BD6966" w:rsidRDefault="00336C0A" w:rsidP="00336C0A">
    <w:pPr>
      <w:pStyle w:val="Footer"/>
      <w:tabs>
        <w:tab w:val="center" w:pos="4536"/>
      </w:tabs>
    </w:pPr>
    <w:r w:rsidRPr="00543433">
      <w:tab/>
    </w:r>
    <w:r w:rsidRPr="00543433">
      <w:tab/>
    </w:r>
    <w:r w:rsidRPr="00BD6966">
      <w:t>PE</w:t>
    </w:r>
    <w:r w:rsidRPr="00BD6966">
      <w:rPr>
        <w:rStyle w:val="HideTWBExt"/>
        <w:noProof w:val="0"/>
        <w:sz w:val="22"/>
      </w:rPr>
      <w:t>&lt;</w:t>
    </w:r>
    <w:r w:rsidRPr="00BD6966">
      <w:rPr>
        <w:rStyle w:val="HideTWBExt"/>
        <w:noProof w:val="0"/>
      </w:rPr>
      <w:t>NoPE&gt;</w:t>
    </w:r>
    <w:r w:rsidRPr="00BD6966">
      <w:t>624.177</w:t>
    </w:r>
    <w:r w:rsidRPr="00BD6966">
      <w:rPr>
        <w:rStyle w:val="HideTWBExt"/>
        <w:noProof w:val="0"/>
      </w:rPr>
      <w:t>&lt;/NoPE&gt;&lt;Version&gt;</w:t>
    </w:r>
    <w:r w:rsidRPr="00BD6966">
      <w:t>v01-00</w:t>
    </w:r>
    <w:r w:rsidRPr="00BD6966">
      <w:rPr>
        <w:rStyle w:val="HideTWBExt"/>
        <w:noProof w:val="0"/>
      </w:rPr>
      <w:t>&lt;/Version</w:t>
    </w:r>
    <w:r w:rsidRPr="00BD6966">
      <w:rPr>
        <w:rStyle w:val="HideTWBExt"/>
        <w:noProof w:val="0"/>
        <w:sz w:val="22"/>
      </w:rPr>
      <w:t>&gt;</w:t>
    </w:r>
    <w:r w:rsidRPr="00BD6966">
      <w:t xml:space="preserve"> }</w:t>
    </w:r>
  </w:p>
  <w:p w14:paraId="0D859F4F" w14:textId="77777777" w:rsidR="00336C0A" w:rsidRPr="00BD6966" w:rsidRDefault="00336C0A" w:rsidP="00336C0A">
    <w:pPr>
      <w:pStyle w:val="Footer"/>
      <w:tabs>
        <w:tab w:val="center" w:pos="4536"/>
      </w:tabs>
    </w:pPr>
    <w:r w:rsidRPr="00BD6966">
      <w:tab/>
    </w:r>
    <w:r w:rsidRPr="00BD6966">
      <w:tab/>
      <w:t>PE</w:t>
    </w:r>
    <w:r w:rsidRPr="00BD6966">
      <w:rPr>
        <w:rStyle w:val="HideTWBExt"/>
        <w:noProof w:val="0"/>
        <w:sz w:val="22"/>
      </w:rPr>
      <w:t>&lt;</w:t>
    </w:r>
    <w:r w:rsidRPr="00BD6966">
      <w:rPr>
        <w:rStyle w:val="HideTWBExt"/>
        <w:noProof w:val="0"/>
      </w:rPr>
      <w:t>NoPE&gt;</w:t>
    </w:r>
    <w:r w:rsidRPr="00BD6966">
      <w:t>624.179</w:t>
    </w:r>
    <w:r w:rsidRPr="00BD6966">
      <w:rPr>
        <w:rStyle w:val="HideTWBExt"/>
        <w:noProof w:val="0"/>
      </w:rPr>
      <w:t>&lt;/NoPE&gt;&lt;Version&gt;</w:t>
    </w:r>
    <w:r w:rsidRPr="00BD6966">
      <w:t>v01-00</w:t>
    </w:r>
    <w:r w:rsidRPr="00BD6966">
      <w:rPr>
        <w:rStyle w:val="HideTWBExt"/>
        <w:noProof w:val="0"/>
      </w:rPr>
      <w:t>&lt;/Version</w:t>
    </w:r>
    <w:r w:rsidRPr="00BD6966">
      <w:rPr>
        <w:rStyle w:val="HideTWBExt"/>
        <w:noProof w:val="0"/>
        <w:sz w:val="22"/>
      </w:rPr>
      <w:t>&gt;</w:t>
    </w:r>
    <w:r w:rsidRPr="00BD6966">
      <w:t xml:space="preserve"> }</w:t>
    </w:r>
  </w:p>
  <w:p w14:paraId="5A3D503F" w14:textId="77777777" w:rsidR="00C55061" w:rsidRPr="00BD6966" w:rsidRDefault="00C55061" w:rsidP="00554F5C">
    <w:pPr>
      <w:pStyle w:val="Footer"/>
    </w:pPr>
    <w:r w:rsidRPr="00BD6966">
      <w:tab/>
      <w:t>PE</w:t>
    </w:r>
    <w:r w:rsidRPr="00BD6966">
      <w:rPr>
        <w:rStyle w:val="HideTWBExt"/>
        <w:noProof w:val="0"/>
        <w:sz w:val="22"/>
      </w:rPr>
      <w:t>&lt;</w:t>
    </w:r>
    <w:r w:rsidRPr="00BD6966">
      <w:rPr>
        <w:rStyle w:val="HideTWBExt"/>
        <w:noProof w:val="0"/>
      </w:rPr>
      <w:t>NoPE&gt;</w:t>
    </w:r>
    <w:r w:rsidR="00336C0A" w:rsidRPr="00BD6966">
      <w:t>624.181</w:t>
    </w:r>
    <w:r w:rsidRPr="00BD6966">
      <w:rPr>
        <w:rStyle w:val="HideTWBExt"/>
        <w:noProof w:val="0"/>
      </w:rPr>
      <w:t>&lt;/NoPE&gt;&lt;Version&gt;</w:t>
    </w:r>
    <w:r w:rsidR="00543433" w:rsidRPr="00BD6966">
      <w:t>v</w:t>
    </w:r>
    <w:r w:rsidR="00336C0A" w:rsidRPr="00BD6966">
      <w:t>01-00</w:t>
    </w:r>
    <w:r w:rsidRPr="00BD6966">
      <w:rPr>
        <w:rStyle w:val="HideTWBExt"/>
        <w:noProof w:val="0"/>
      </w:rPr>
      <w:t>&lt;/Version</w:t>
    </w:r>
    <w:r w:rsidRPr="00BD6966">
      <w:rPr>
        <w:rStyle w:val="HideTWBExt"/>
        <w:noProof w:val="0"/>
        <w:sz w:val="22"/>
      </w:rPr>
      <w:t>&gt;</w:t>
    </w:r>
    <w:r w:rsidRPr="00BD6966">
      <w:t xml:space="preserve"> } RC1</w:t>
    </w:r>
  </w:p>
  <w:p w14:paraId="7D3C63B7" w14:textId="4679CBD2" w:rsidR="00626D73" w:rsidRPr="00543433" w:rsidRDefault="00626D73">
    <w:pPr>
      <w:pStyle w:val="Footer2"/>
      <w:ind w:left="-426"/>
    </w:pPr>
    <w:r w:rsidRPr="00543433">
      <w:fldChar w:fldCharType="begin"/>
    </w:r>
    <w:r w:rsidRPr="00543433">
      <w:instrText xml:space="preserve"> DOCPROPERTY "&lt;Extension&gt;"</w:instrText>
    </w:r>
    <w:r w:rsidRPr="00543433">
      <w:fldChar w:fldCharType="separate"/>
    </w:r>
    <w:r w:rsidR="0040134E">
      <w:t>EN</w:t>
    </w:r>
    <w:r w:rsidRPr="0054343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BDF1" w14:textId="7B8994AC" w:rsidR="00AA1D6D" w:rsidRPr="00543433" w:rsidRDefault="00AA1D6D" w:rsidP="00AA1D6D">
    <w:pPr>
      <w:widowControl/>
      <w:tabs>
        <w:tab w:val="left" w:pos="-1071"/>
        <w:tab w:val="left" w:pos="-680"/>
        <w:tab w:val="center" w:pos="4536"/>
        <w:tab w:val="left" w:pos="6663"/>
        <w:tab w:val="left" w:pos="8763"/>
        <w:tab w:val="left" w:pos="9046"/>
      </w:tabs>
      <w:ind w:left="-284"/>
      <w:rPr>
        <w:sz w:val="22"/>
      </w:rPr>
    </w:pPr>
    <w:r w:rsidRPr="00543433">
      <w:rPr>
        <w:rStyle w:val="HideTWBExt"/>
        <w:noProof w:val="0"/>
        <w:sz w:val="22"/>
      </w:rPr>
      <w:t>&lt;</w:t>
    </w:r>
    <w:r w:rsidRPr="00543433">
      <w:rPr>
        <w:rStyle w:val="HideTWBExt"/>
        <w:noProof w:val="0"/>
      </w:rPr>
      <w:t>PathFdR</w:t>
    </w:r>
    <w:r w:rsidRPr="00543433">
      <w:rPr>
        <w:rStyle w:val="HideTWBExt"/>
        <w:noProof w:val="0"/>
        <w:sz w:val="22"/>
      </w:rPr>
      <w:t>&gt;</w:t>
    </w:r>
    <w:r w:rsidR="00336C0A" w:rsidRPr="00336C0A">
      <w:rPr>
        <w:sz w:val="22"/>
      </w:rPr>
      <w:t>RC\1166884EN.docx</w:t>
    </w:r>
    <w:r w:rsidRPr="00543433">
      <w:rPr>
        <w:rStyle w:val="HideTWBExt"/>
        <w:noProof w:val="0"/>
        <w:sz w:val="22"/>
      </w:rPr>
      <w:t>&lt;/</w:t>
    </w:r>
    <w:r w:rsidRPr="00543433">
      <w:rPr>
        <w:rStyle w:val="HideTWBExt"/>
        <w:noProof w:val="0"/>
      </w:rPr>
      <w:t>PathFdR</w:t>
    </w:r>
    <w:r w:rsidRPr="00543433">
      <w:rPr>
        <w:rStyle w:val="HideTWBExt"/>
        <w:noProof w:val="0"/>
        <w:sz w:val="22"/>
      </w:rPr>
      <w:t>&gt;</w:t>
    </w:r>
    <w:r w:rsidRPr="00543433">
      <w:rPr>
        <w:sz w:val="22"/>
      </w:rPr>
      <w:t xml:space="preserve"> </w:t>
    </w:r>
    <w:r w:rsidRPr="00543433">
      <w:rPr>
        <w:sz w:val="22"/>
      </w:rPr>
      <w:tab/>
    </w:r>
    <w:r w:rsidR="00336C0A">
      <w:fldChar w:fldCharType="begin"/>
    </w:r>
    <w:r w:rsidR="00336C0A">
      <w:instrText xml:space="preserve"> PAGE  \* MERGEFORMAT </w:instrText>
    </w:r>
    <w:r w:rsidR="00336C0A">
      <w:fldChar w:fldCharType="separate"/>
    </w:r>
    <w:r w:rsidR="0040134E">
      <w:rPr>
        <w:noProof/>
      </w:rPr>
      <w:t>3</w:t>
    </w:r>
    <w:r w:rsidR="00336C0A">
      <w:fldChar w:fldCharType="end"/>
    </w:r>
    <w:r w:rsidR="00336C0A">
      <w:t>/</w:t>
    </w:r>
    <w:r w:rsidR="000D04C6">
      <w:rPr>
        <w:noProof/>
      </w:rPr>
      <w:fldChar w:fldCharType="begin"/>
    </w:r>
    <w:r w:rsidR="000D04C6">
      <w:rPr>
        <w:noProof/>
      </w:rPr>
      <w:instrText xml:space="preserve"> NUMPAGES  \* MERGEFORMAT </w:instrText>
    </w:r>
    <w:r w:rsidR="000D04C6">
      <w:rPr>
        <w:noProof/>
      </w:rPr>
      <w:fldChar w:fldCharType="separate"/>
    </w:r>
    <w:r w:rsidR="0040134E">
      <w:rPr>
        <w:noProof/>
      </w:rPr>
      <w:t>7</w:t>
    </w:r>
    <w:r w:rsidR="000D04C6">
      <w:rPr>
        <w:noProof/>
      </w:rPr>
      <w:fldChar w:fldCharType="end"/>
    </w:r>
    <w:r w:rsidRPr="00543433">
      <w:rPr>
        <w:sz w:val="22"/>
      </w:rPr>
      <w:tab/>
      <w:t>PE</w:t>
    </w:r>
    <w:r w:rsidRPr="00543433">
      <w:rPr>
        <w:rStyle w:val="HideTWBExt"/>
        <w:noProof w:val="0"/>
        <w:sz w:val="22"/>
      </w:rPr>
      <w:t>&lt;</w:t>
    </w:r>
    <w:r w:rsidRPr="00543433">
      <w:rPr>
        <w:rStyle w:val="HideTWBExt"/>
        <w:noProof w:val="0"/>
      </w:rPr>
      <w:t>NoPE&gt;</w:t>
    </w:r>
    <w:r w:rsidR="00336C0A" w:rsidRPr="00336C0A">
      <w:rPr>
        <w:sz w:val="22"/>
      </w:rPr>
      <w:t>624.175</w:t>
    </w:r>
    <w:r w:rsidRPr="00543433">
      <w:rPr>
        <w:rStyle w:val="HideTWBExt"/>
        <w:noProof w:val="0"/>
      </w:rPr>
      <w:t>&lt;/NoPE&gt;&lt;Version&gt;</w:t>
    </w:r>
    <w:r w:rsidR="00543433" w:rsidRPr="00543433">
      <w:rPr>
        <w:sz w:val="22"/>
      </w:rPr>
      <w:t>v</w:t>
    </w:r>
    <w:r w:rsidR="00336C0A" w:rsidRPr="00336C0A">
      <w:rPr>
        <w:sz w:val="22"/>
      </w:rPr>
      <w:t>01-00</w:t>
    </w:r>
    <w:r w:rsidRPr="00543433">
      <w:rPr>
        <w:rStyle w:val="HideTWBExt"/>
        <w:noProof w:val="0"/>
      </w:rPr>
      <w:t>&lt;/Version</w:t>
    </w:r>
    <w:r w:rsidRPr="00543433">
      <w:rPr>
        <w:rStyle w:val="HideTWBExt"/>
        <w:noProof w:val="0"/>
        <w:sz w:val="22"/>
      </w:rPr>
      <w:t>&gt;</w:t>
    </w:r>
    <w:r w:rsidRPr="00543433">
      <w:t xml:space="preserve"> </w:t>
    </w:r>
    <w:r w:rsidRPr="00543433">
      <w:rPr>
        <w:sz w:val="22"/>
      </w:rPr>
      <w:t>}</w:t>
    </w:r>
  </w:p>
  <w:p w14:paraId="7A55A94E" w14:textId="77777777" w:rsidR="00336C0A" w:rsidRPr="00BD6966" w:rsidRDefault="00336C0A" w:rsidP="00336C0A">
    <w:pPr>
      <w:widowControl/>
      <w:tabs>
        <w:tab w:val="left" w:pos="-1071"/>
        <w:tab w:val="left" w:pos="-680"/>
        <w:tab w:val="center" w:pos="4536"/>
        <w:tab w:val="left" w:pos="6663"/>
        <w:tab w:val="left" w:pos="8763"/>
        <w:tab w:val="left" w:pos="9046"/>
      </w:tabs>
      <w:ind w:left="-284"/>
      <w:rPr>
        <w:sz w:val="22"/>
      </w:rPr>
    </w:pPr>
    <w:r w:rsidRPr="00543433">
      <w:rPr>
        <w:sz w:val="22"/>
      </w:rPr>
      <w:tab/>
    </w:r>
    <w:r w:rsidRPr="00543433">
      <w:rPr>
        <w:sz w:val="22"/>
      </w:rPr>
      <w:tab/>
    </w:r>
    <w:r w:rsidRPr="00BD6966">
      <w:rPr>
        <w:sz w:val="22"/>
      </w:rPr>
      <w:t>PE</w:t>
    </w:r>
    <w:r w:rsidRPr="00BD6966">
      <w:rPr>
        <w:rStyle w:val="HideTWBExt"/>
        <w:noProof w:val="0"/>
        <w:sz w:val="22"/>
      </w:rPr>
      <w:t>&lt;</w:t>
    </w:r>
    <w:r w:rsidRPr="00BD6966">
      <w:rPr>
        <w:rStyle w:val="HideTWBExt"/>
        <w:noProof w:val="0"/>
      </w:rPr>
      <w:t>NoPE&gt;</w:t>
    </w:r>
    <w:r w:rsidRPr="00BD6966">
      <w:rPr>
        <w:sz w:val="22"/>
      </w:rPr>
      <w:t>624.177</w:t>
    </w:r>
    <w:r w:rsidRPr="00BD6966">
      <w:rPr>
        <w:rStyle w:val="HideTWBExt"/>
        <w:noProof w:val="0"/>
      </w:rPr>
      <w:t>&lt;/NoPE&gt;&lt;Version&gt;</w:t>
    </w:r>
    <w:r w:rsidRPr="00BD6966">
      <w:rPr>
        <w:sz w:val="22"/>
      </w:rPr>
      <w:t>v01-00</w:t>
    </w:r>
    <w:r w:rsidRPr="00BD6966">
      <w:rPr>
        <w:rStyle w:val="HideTWBExt"/>
        <w:noProof w:val="0"/>
      </w:rPr>
      <w:t>&lt;/Version</w:t>
    </w:r>
    <w:r w:rsidRPr="00BD6966">
      <w:rPr>
        <w:rStyle w:val="HideTWBExt"/>
        <w:noProof w:val="0"/>
        <w:sz w:val="22"/>
      </w:rPr>
      <w:t>&gt;</w:t>
    </w:r>
    <w:r w:rsidRPr="00BD6966">
      <w:t xml:space="preserve"> </w:t>
    </w:r>
    <w:r w:rsidRPr="00BD6966">
      <w:rPr>
        <w:sz w:val="22"/>
      </w:rPr>
      <w:t>}</w:t>
    </w:r>
  </w:p>
  <w:p w14:paraId="434CFE9C" w14:textId="77777777" w:rsidR="00336C0A" w:rsidRPr="00BD6966" w:rsidRDefault="00336C0A" w:rsidP="00336C0A">
    <w:pPr>
      <w:widowControl/>
      <w:tabs>
        <w:tab w:val="left" w:pos="-1071"/>
        <w:tab w:val="left" w:pos="-680"/>
        <w:tab w:val="center" w:pos="4536"/>
        <w:tab w:val="left" w:pos="6663"/>
        <w:tab w:val="left" w:pos="8763"/>
        <w:tab w:val="left" w:pos="9046"/>
      </w:tabs>
      <w:ind w:left="-284"/>
      <w:rPr>
        <w:sz w:val="22"/>
      </w:rPr>
    </w:pPr>
    <w:r w:rsidRPr="00BD6966">
      <w:rPr>
        <w:sz w:val="22"/>
      </w:rPr>
      <w:tab/>
    </w:r>
    <w:r w:rsidRPr="00BD6966">
      <w:rPr>
        <w:sz w:val="22"/>
      </w:rPr>
      <w:tab/>
      <w:t>PE</w:t>
    </w:r>
    <w:r w:rsidRPr="00BD6966">
      <w:rPr>
        <w:rStyle w:val="HideTWBExt"/>
        <w:noProof w:val="0"/>
        <w:sz w:val="22"/>
      </w:rPr>
      <w:t>&lt;</w:t>
    </w:r>
    <w:r w:rsidRPr="00BD6966">
      <w:rPr>
        <w:rStyle w:val="HideTWBExt"/>
        <w:noProof w:val="0"/>
      </w:rPr>
      <w:t>NoPE&gt;</w:t>
    </w:r>
    <w:r w:rsidRPr="00BD6966">
      <w:rPr>
        <w:sz w:val="22"/>
      </w:rPr>
      <w:t>624.179</w:t>
    </w:r>
    <w:r w:rsidRPr="00BD6966">
      <w:rPr>
        <w:rStyle w:val="HideTWBExt"/>
        <w:noProof w:val="0"/>
      </w:rPr>
      <w:t>&lt;/NoPE&gt;&lt;Version&gt;</w:t>
    </w:r>
    <w:r w:rsidRPr="00BD6966">
      <w:rPr>
        <w:sz w:val="22"/>
      </w:rPr>
      <w:t>v01-00</w:t>
    </w:r>
    <w:r w:rsidRPr="00BD6966">
      <w:rPr>
        <w:rStyle w:val="HideTWBExt"/>
        <w:noProof w:val="0"/>
      </w:rPr>
      <w:t>&lt;/Version</w:t>
    </w:r>
    <w:r w:rsidRPr="00BD6966">
      <w:rPr>
        <w:rStyle w:val="HideTWBExt"/>
        <w:noProof w:val="0"/>
        <w:sz w:val="22"/>
      </w:rPr>
      <w:t>&gt;</w:t>
    </w:r>
    <w:r w:rsidRPr="00BD6966">
      <w:t xml:space="preserve"> </w:t>
    </w:r>
    <w:r w:rsidRPr="00BD6966">
      <w:rPr>
        <w:sz w:val="22"/>
      </w:rPr>
      <w:t>}</w:t>
    </w:r>
  </w:p>
  <w:p w14:paraId="7BD08873" w14:textId="77777777" w:rsidR="00AA1D6D" w:rsidRPr="00BD6966" w:rsidRDefault="00AA1D6D" w:rsidP="00AA1D6D">
    <w:pPr>
      <w:widowControl/>
      <w:tabs>
        <w:tab w:val="left" w:pos="-1071"/>
        <w:tab w:val="left" w:pos="-680"/>
        <w:tab w:val="left" w:pos="6663"/>
        <w:tab w:val="left" w:pos="8763"/>
        <w:tab w:val="left" w:pos="9046"/>
      </w:tabs>
      <w:ind w:left="-284"/>
      <w:rPr>
        <w:sz w:val="22"/>
      </w:rPr>
    </w:pPr>
    <w:r w:rsidRPr="00BD6966">
      <w:rPr>
        <w:sz w:val="22"/>
      </w:rPr>
      <w:tab/>
      <w:t>PE</w:t>
    </w:r>
    <w:r w:rsidRPr="00BD6966">
      <w:rPr>
        <w:rStyle w:val="HideTWBExt"/>
        <w:noProof w:val="0"/>
        <w:sz w:val="22"/>
      </w:rPr>
      <w:t>&lt;</w:t>
    </w:r>
    <w:r w:rsidRPr="00BD6966">
      <w:rPr>
        <w:rStyle w:val="HideTWBExt"/>
        <w:noProof w:val="0"/>
      </w:rPr>
      <w:t>NoPE&gt;</w:t>
    </w:r>
    <w:r w:rsidR="00336C0A" w:rsidRPr="00BD6966">
      <w:rPr>
        <w:sz w:val="22"/>
      </w:rPr>
      <w:t>624.181</w:t>
    </w:r>
    <w:r w:rsidRPr="00BD6966">
      <w:rPr>
        <w:rStyle w:val="HideTWBExt"/>
        <w:noProof w:val="0"/>
      </w:rPr>
      <w:t>&lt;/NoPE&gt;&lt;Version&gt;</w:t>
    </w:r>
    <w:r w:rsidR="00543433" w:rsidRPr="00BD6966">
      <w:rPr>
        <w:sz w:val="22"/>
      </w:rPr>
      <w:t>v</w:t>
    </w:r>
    <w:r w:rsidR="00336C0A" w:rsidRPr="00BD6966">
      <w:rPr>
        <w:sz w:val="22"/>
      </w:rPr>
      <w:t>01-00</w:t>
    </w:r>
    <w:r w:rsidRPr="00BD6966">
      <w:rPr>
        <w:rStyle w:val="HideTWBExt"/>
        <w:noProof w:val="0"/>
      </w:rPr>
      <w:t>&lt;/Version</w:t>
    </w:r>
    <w:r w:rsidRPr="00BD6966">
      <w:rPr>
        <w:rStyle w:val="HideTWBExt"/>
        <w:noProof w:val="0"/>
        <w:sz w:val="22"/>
      </w:rPr>
      <w:t>&gt;</w:t>
    </w:r>
    <w:r w:rsidRPr="00BD6966">
      <w:t xml:space="preserve"> </w:t>
    </w:r>
    <w:r w:rsidRPr="00BD6966">
      <w:rPr>
        <w:sz w:val="22"/>
      </w:rPr>
      <w:t>} RC1</w:t>
    </w:r>
  </w:p>
  <w:p w14:paraId="0A0FA58F" w14:textId="3CE02C1E" w:rsidR="00626D73" w:rsidRPr="00543433" w:rsidRDefault="00626D73">
    <w:pPr>
      <w:pStyle w:val="Footer2"/>
      <w:tabs>
        <w:tab w:val="clear" w:pos="9921"/>
        <w:tab w:val="right" w:pos="9781"/>
      </w:tabs>
    </w:pPr>
    <w:r w:rsidRPr="00BD6966">
      <w:tab/>
    </w:r>
    <w:r w:rsidR="000710CB">
      <w:fldChar w:fldCharType="begin"/>
    </w:r>
    <w:r w:rsidR="000710CB">
      <w:instrText xml:space="preserve"> DOCPROPERTY "&lt;Extension&gt;" </w:instrText>
    </w:r>
    <w:r w:rsidR="000710CB">
      <w:fldChar w:fldCharType="separate"/>
    </w:r>
    <w:r w:rsidR="0040134E">
      <w:t>EN</w:t>
    </w:r>
    <w:r w:rsidR="000710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D65E" w14:textId="77777777" w:rsidR="00626D73" w:rsidRPr="00543433"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543433">
      <w:rPr>
        <w:rStyle w:val="HideTWBExt"/>
        <w:noProof w:val="0"/>
        <w:sz w:val="22"/>
      </w:rPr>
      <w:t>&lt;</w:t>
    </w:r>
    <w:r w:rsidRPr="00543433">
      <w:rPr>
        <w:rStyle w:val="HideTWBExt"/>
        <w:noProof w:val="0"/>
      </w:rPr>
      <w:t>PathFdR</w:t>
    </w:r>
    <w:r w:rsidRPr="00543433">
      <w:rPr>
        <w:rStyle w:val="HideTWBExt"/>
        <w:noProof w:val="0"/>
        <w:sz w:val="22"/>
      </w:rPr>
      <w:t>&gt;</w:t>
    </w:r>
    <w:r w:rsidR="00336C0A" w:rsidRPr="00336C0A">
      <w:rPr>
        <w:sz w:val="22"/>
      </w:rPr>
      <w:t>RC\1166884EN.docx</w:t>
    </w:r>
    <w:r w:rsidRPr="00543433">
      <w:rPr>
        <w:rStyle w:val="HideTWBExt"/>
        <w:noProof w:val="0"/>
        <w:sz w:val="22"/>
      </w:rPr>
      <w:t>&lt;/</w:t>
    </w:r>
    <w:r w:rsidRPr="00543433">
      <w:rPr>
        <w:rStyle w:val="HideTWBExt"/>
        <w:noProof w:val="0"/>
      </w:rPr>
      <w:t>PathFdR</w:t>
    </w:r>
    <w:r w:rsidRPr="00543433">
      <w:rPr>
        <w:rStyle w:val="HideTWBExt"/>
        <w:noProof w:val="0"/>
        <w:sz w:val="22"/>
      </w:rPr>
      <w:t>&gt;</w:t>
    </w:r>
    <w:bookmarkEnd w:id="1"/>
    <w:r w:rsidRPr="00543433">
      <w:rPr>
        <w:sz w:val="22"/>
      </w:rPr>
      <w:t xml:space="preserve"> </w:t>
    </w:r>
    <w:r w:rsidRPr="00543433">
      <w:rPr>
        <w:sz w:val="22"/>
      </w:rPr>
      <w:tab/>
    </w:r>
    <w:bookmarkStart w:id="3" w:name="OutsideFooter1"/>
    <w:r w:rsidRPr="00543433">
      <w:rPr>
        <w:sz w:val="22"/>
      </w:rPr>
      <w:t>PE</w:t>
    </w:r>
    <w:r w:rsidRPr="00543433">
      <w:rPr>
        <w:rStyle w:val="HideTWBExt"/>
        <w:noProof w:val="0"/>
        <w:sz w:val="22"/>
      </w:rPr>
      <w:t>&lt;</w:t>
    </w:r>
    <w:r w:rsidRPr="00543433">
      <w:rPr>
        <w:rStyle w:val="HideTWBExt"/>
        <w:noProof w:val="0"/>
      </w:rPr>
      <w:t>NoPE&gt;</w:t>
    </w:r>
    <w:r w:rsidR="00336C0A">
      <w:rPr>
        <w:sz w:val="22"/>
      </w:rPr>
      <w:t>624.175</w:t>
    </w:r>
    <w:r w:rsidRPr="00543433">
      <w:rPr>
        <w:rStyle w:val="HideTWBExt"/>
        <w:noProof w:val="0"/>
      </w:rPr>
      <w:t>&lt;/NoPE&gt;&lt;Version&gt;</w:t>
    </w:r>
    <w:r w:rsidR="00543433" w:rsidRPr="00543433">
      <w:rPr>
        <w:sz w:val="22"/>
      </w:rPr>
      <w:t>v</w:t>
    </w:r>
    <w:r w:rsidR="00336C0A">
      <w:rPr>
        <w:sz w:val="22"/>
      </w:rPr>
      <w:t>01-00</w:t>
    </w:r>
    <w:r w:rsidRPr="00543433">
      <w:rPr>
        <w:rStyle w:val="HideTWBExt"/>
        <w:noProof w:val="0"/>
      </w:rPr>
      <w:t>&lt;/Version</w:t>
    </w:r>
    <w:r w:rsidRPr="00543433">
      <w:rPr>
        <w:rStyle w:val="HideTWBExt"/>
        <w:noProof w:val="0"/>
        <w:sz w:val="22"/>
      </w:rPr>
      <w:t>&gt;</w:t>
    </w:r>
    <w:r w:rsidRPr="00543433">
      <w:t xml:space="preserve"> </w:t>
    </w:r>
    <w:r w:rsidRPr="00543433">
      <w:rPr>
        <w:sz w:val="22"/>
      </w:rPr>
      <w:t>}</w:t>
    </w:r>
  </w:p>
  <w:p w14:paraId="4A409569" w14:textId="77777777" w:rsidR="00336C0A" w:rsidRPr="00BD6966" w:rsidRDefault="00336C0A" w:rsidP="00336C0A">
    <w:pPr>
      <w:widowControl/>
      <w:tabs>
        <w:tab w:val="left" w:pos="-1071"/>
        <w:tab w:val="left" w:pos="-680"/>
        <w:tab w:val="left" w:pos="6663"/>
        <w:tab w:val="left" w:pos="8763"/>
        <w:tab w:val="left" w:pos="9046"/>
      </w:tabs>
      <w:ind w:left="-284"/>
      <w:rPr>
        <w:sz w:val="22"/>
      </w:rPr>
    </w:pPr>
    <w:r w:rsidRPr="00543433">
      <w:rPr>
        <w:sz w:val="22"/>
      </w:rPr>
      <w:tab/>
    </w:r>
    <w:r w:rsidRPr="00BD6966">
      <w:rPr>
        <w:sz w:val="22"/>
      </w:rPr>
      <w:t>PE</w:t>
    </w:r>
    <w:r w:rsidRPr="00BD6966">
      <w:rPr>
        <w:rStyle w:val="HideTWBExt"/>
        <w:noProof w:val="0"/>
        <w:sz w:val="22"/>
      </w:rPr>
      <w:t>&lt;</w:t>
    </w:r>
    <w:r w:rsidRPr="00BD6966">
      <w:rPr>
        <w:rStyle w:val="HideTWBExt"/>
        <w:noProof w:val="0"/>
      </w:rPr>
      <w:t>NoPE&gt;</w:t>
    </w:r>
    <w:r w:rsidRPr="00BD6966">
      <w:rPr>
        <w:sz w:val="22"/>
      </w:rPr>
      <w:t>624.177</w:t>
    </w:r>
    <w:r w:rsidRPr="00BD6966">
      <w:rPr>
        <w:rStyle w:val="HideTWBExt"/>
        <w:noProof w:val="0"/>
      </w:rPr>
      <w:t>&lt;/NoPE&gt;&lt;Version&gt;</w:t>
    </w:r>
    <w:r w:rsidRPr="00BD6966">
      <w:rPr>
        <w:sz w:val="22"/>
      </w:rPr>
      <w:t>v01-00</w:t>
    </w:r>
    <w:r w:rsidRPr="00BD6966">
      <w:rPr>
        <w:rStyle w:val="HideTWBExt"/>
        <w:noProof w:val="0"/>
      </w:rPr>
      <w:t>&lt;/Version</w:t>
    </w:r>
    <w:r w:rsidRPr="00BD6966">
      <w:rPr>
        <w:rStyle w:val="HideTWBExt"/>
        <w:noProof w:val="0"/>
        <w:sz w:val="22"/>
      </w:rPr>
      <w:t>&gt;</w:t>
    </w:r>
    <w:r w:rsidRPr="00BD6966">
      <w:t xml:space="preserve"> </w:t>
    </w:r>
    <w:r w:rsidRPr="00BD6966">
      <w:rPr>
        <w:sz w:val="22"/>
      </w:rPr>
      <w:t>}</w:t>
    </w:r>
  </w:p>
  <w:p w14:paraId="2AB0BF01" w14:textId="77777777" w:rsidR="00336C0A" w:rsidRPr="00BD6966" w:rsidRDefault="00336C0A" w:rsidP="00336C0A">
    <w:pPr>
      <w:widowControl/>
      <w:tabs>
        <w:tab w:val="left" w:pos="-1071"/>
        <w:tab w:val="left" w:pos="-680"/>
        <w:tab w:val="left" w:pos="6663"/>
        <w:tab w:val="left" w:pos="8763"/>
        <w:tab w:val="left" w:pos="9046"/>
      </w:tabs>
      <w:ind w:left="-284"/>
      <w:rPr>
        <w:sz w:val="22"/>
      </w:rPr>
    </w:pPr>
    <w:r w:rsidRPr="00BD6966">
      <w:rPr>
        <w:sz w:val="22"/>
      </w:rPr>
      <w:tab/>
      <w:t>PE</w:t>
    </w:r>
    <w:r w:rsidRPr="00BD6966">
      <w:rPr>
        <w:rStyle w:val="HideTWBExt"/>
        <w:noProof w:val="0"/>
        <w:sz w:val="22"/>
      </w:rPr>
      <w:t>&lt;</w:t>
    </w:r>
    <w:r w:rsidRPr="00BD6966">
      <w:rPr>
        <w:rStyle w:val="HideTWBExt"/>
        <w:noProof w:val="0"/>
      </w:rPr>
      <w:t>NoPE&gt;</w:t>
    </w:r>
    <w:r w:rsidRPr="00BD6966">
      <w:rPr>
        <w:sz w:val="22"/>
      </w:rPr>
      <w:t>624.179</w:t>
    </w:r>
    <w:r w:rsidRPr="00BD6966">
      <w:rPr>
        <w:rStyle w:val="HideTWBExt"/>
        <w:noProof w:val="0"/>
      </w:rPr>
      <w:t>&lt;/NoPE&gt;&lt;Version&gt;</w:t>
    </w:r>
    <w:r w:rsidRPr="00BD6966">
      <w:rPr>
        <w:sz w:val="22"/>
      </w:rPr>
      <w:t>v01-00</w:t>
    </w:r>
    <w:r w:rsidRPr="00BD6966">
      <w:rPr>
        <w:rStyle w:val="HideTWBExt"/>
        <w:noProof w:val="0"/>
      </w:rPr>
      <w:t>&lt;/Version</w:t>
    </w:r>
    <w:r w:rsidRPr="00BD6966">
      <w:rPr>
        <w:rStyle w:val="HideTWBExt"/>
        <w:noProof w:val="0"/>
        <w:sz w:val="22"/>
      </w:rPr>
      <w:t>&gt;</w:t>
    </w:r>
    <w:r w:rsidRPr="00BD6966">
      <w:t xml:space="preserve"> </w:t>
    </w:r>
    <w:r w:rsidRPr="00BD6966">
      <w:rPr>
        <w:sz w:val="22"/>
      </w:rPr>
      <w:t>}</w:t>
    </w:r>
  </w:p>
  <w:p w14:paraId="599C4561" w14:textId="77777777" w:rsidR="00626D73" w:rsidRPr="00BD6966" w:rsidRDefault="00626D73">
    <w:pPr>
      <w:widowControl/>
      <w:tabs>
        <w:tab w:val="left" w:pos="-1071"/>
        <w:tab w:val="left" w:pos="-680"/>
        <w:tab w:val="left" w:pos="6663"/>
        <w:tab w:val="left" w:pos="8763"/>
        <w:tab w:val="left" w:pos="9046"/>
      </w:tabs>
      <w:ind w:left="-284"/>
    </w:pPr>
    <w:r w:rsidRPr="00BD6966">
      <w:rPr>
        <w:sz w:val="22"/>
      </w:rPr>
      <w:tab/>
      <w:t>PE</w:t>
    </w:r>
    <w:r w:rsidRPr="00BD6966">
      <w:rPr>
        <w:rStyle w:val="HideTWBExt"/>
        <w:noProof w:val="0"/>
        <w:sz w:val="22"/>
      </w:rPr>
      <w:t>&lt;</w:t>
    </w:r>
    <w:r w:rsidRPr="00BD6966">
      <w:rPr>
        <w:rStyle w:val="HideTWBExt"/>
        <w:noProof w:val="0"/>
      </w:rPr>
      <w:t>NoPE&gt;</w:t>
    </w:r>
    <w:r w:rsidR="00336C0A" w:rsidRPr="00BD6966">
      <w:rPr>
        <w:sz w:val="22"/>
      </w:rPr>
      <w:t>624.181</w:t>
    </w:r>
    <w:r w:rsidRPr="00BD6966">
      <w:rPr>
        <w:rStyle w:val="HideTWBExt"/>
        <w:noProof w:val="0"/>
      </w:rPr>
      <w:t>&lt;/NoPE&gt;&lt;Version&gt;</w:t>
    </w:r>
    <w:r w:rsidR="00543433" w:rsidRPr="00BD6966">
      <w:rPr>
        <w:sz w:val="22"/>
      </w:rPr>
      <w:t>v</w:t>
    </w:r>
    <w:r w:rsidR="00336C0A" w:rsidRPr="00BD6966">
      <w:rPr>
        <w:sz w:val="22"/>
      </w:rPr>
      <w:t>01-00</w:t>
    </w:r>
    <w:r w:rsidRPr="00BD6966">
      <w:rPr>
        <w:rStyle w:val="HideTWBExt"/>
        <w:noProof w:val="0"/>
      </w:rPr>
      <w:t>&lt;/Version</w:t>
    </w:r>
    <w:r w:rsidRPr="00BD6966">
      <w:rPr>
        <w:rStyle w:val="HideTWBExt"/>
        <w:noProof w:val="0"/>
        <w:sz w:val="22"/>
      </w:rPr>
      <w:t>&gt;</w:t>
    </w:r>
    <w:r w:rsidRPr="00BD6966">
      <w:t xml:space="preserve"> </w:t>
    </w:r>
    <w:r w:rsidRPr="00BD6966">
      <w:rPr>
        <w:sz w:val="22"/>
      </w:rPr>
      <w:t>} RC1</w:t>
    </w:r>
  </w:p>
  <w:bookmarkEnd w:id="2"/>
  <w:bookmarkEnd w:id="3"/>
  <w:p w14:paraId="5B1E8708" w14:textId="4D1C1D3F" w:rsidR="00626D73" w:rsidRPr="00543433" w:rsidRDefault="00626D73" w:rsidP="003441B1">
    <w:pPr>
      <w:pStyle w:val="Footer2"/>
      <w:tabs>
        <w:tab w:val="center" w:pos="4536"/>
      </w:tabs>
    </w:pPr>
    <w:r w:rsidRPr="00543433">
      <w:fldChar w:fldCharType="begin"/>
    </w:r>
    <w:r w:rsidRPr="00543433">
      <w:instrText xml:space="preserve"> DOCPROPERTY "&lt;Extension&gt;" </w:instrText>
    </w:r>
    <w:r w:rsidRPr="00543433">
      <w:fldChar w:fldCharType="separate"/>
    </w:r>
    <w:r w:rsidR="0040134E">
      <w:t>EN</w:t>
    </w:r>
    <w:r w:rsidRPr="00543433">
      <w:fldChar w:fldCharType="end"/>
    </w:r>
    <w:r w:rsidRPr="00543433">
      <w:rPr>
        <w:color w:val="C0C0C0"/>
      </w:rPr>
      <w:tab/>
    </w:r>
    <w:r w:rsidR="00336C0A">
      <w:rPr>
        <w:b w:val="0"/>
        <w:i/>
        <w:color w:val="C0C0C0"/>
        <w:sz w:val="22"/>
        <w:szCs w:val="22"/>
      </w:rPr>
      <w:t>United in diversity</w:t>
    </w:r>
    <w:r w:rsidRPr="00543433">
      <w:rPr>
        <w:color w:val="C0C0C0"/>
      </w:rPr>
      <w:tab/>
    </w:r>
    <w:r w:rsidR="000710CB">
      <w:fldChar w:fldCharType="begin"/>
    </w:r>
    <w:r w:rsidR="000710CB">
      <w:instrText xml:space="preserve"> DOCPROPERTY "&lt;Extension&gt;" </w:instrText>
    </w:r>
    <w:r w:rsidR="000710CB">
      <w:fldChar w:fldCharType="separate"/>
    </w:r>
    <w:r w:rsidR="0040134E">
      <w:t>EN</w:t>
    </w:r>
    <w:r w:rsidR="000710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58C6" w14:textId="77777777" w:rsidR="00543433" w:rsidRPr="00543433" w:rsidRDefault="00543433">
      <w:r w:rsidRPr="00543433">
        <w:separator/>
      </w:r>
    </w:p>
  </w:footnote>
  <w:footnote w:type="continuationSeparator" w:id="0">
    <w:p w14:paraId="24351E81" w14:textId="77777777" w:rsidR="00543433" w:rsidRPr="00543433" w:rsidRDefault="00543433">
      <w:r w:rsidRPr="00543433">
        <w:continuationSeparator/>
      </w:r>
    </w:p>
  </w:footnote>
  <w:footnote w:id="1">
    <w:p w14:paraId="475C634A" w14:textId="77777777" w:rsidR="00BD6966" w:rsidRPr="0000180E" w:rsidRDefault="00BD6966" w:rsidP="00BD6966">
      <w:pPr>
        <w:pStyle w:val="FootnoteText"/>
        <w:rPr>
          <w:lang w:val="pl-PL"/>
        </w:rPr>
      </w:pPr>
      <w:r>
        <w:rPr>
          <w:rStyle w:val="FootnoteReference"/>
        </w:rPr>
        <w:footnoteRef/>
      </w:r>
      <w:r w:rsidRPr="0000180E">
        <w:rPr>
          <w:lang w:val="pl-PL"/>
        </w:rPr>
        <w:t xml:space="preserve"> OJ L 182, 12.7.2007, p. 19.</w:t>
      </w:r>
    </w:p>
  </w:footnote>
  <w:footnote w:id="2">
    <w:p w14:paraId="3E59F762" w14:textId="77777777" w:rsidR="00BD6966" w:rsidRPr="0000180E" w:rsidRDefault="00BD6966" w:rsidP="00BD6966">
      <w:pPr>
        <w:pStyle w:val="FootnoteText"/>
        <w:rPr>
          <w:lang w:val="pl-PL"/>
        </w:rPr>
      </w:pPr>
      <w:r>
        <w:rPr>
          <w:rStyle w:val="FootnoteReference"/>
        </w:rPr>
        <w:footnoteRef/>
      </w:r>
      <w:r w:rsidRPr="0000180E">
        <w:rPr>
          <w:lang w:val="pl-PL"/>
        </w:rPr>
        <w:t xml:space="preserve"> OJ C 366, 27.10.2017, p. 149.</w:t>
      </w:r>
    </w:p>
  </w:footnote>
  <w:footnote w:id="3">
    <w:p w14:paraId="1C743ADA" w14:textId="77777777" w:rsidR="00BD6966" w:rsidRPr="0000180E" w:rsidRDefault="00BD6966" w:rsidP="00BD6966">
      <w:pPr>
        <w:pStyle w:val="FootnoteText"/>
        <w:rPr>
          <w:lang w:val="pl-PL"/>
        </w:rPr>
      </w:pPr>
      <w:r>
        <w:rPr>
          <w:rStyle w:val="FootnoteReference"/>
        </w:rPr>
        <w:footnoteRef/>
      </w:r>
      <w:r w:rsidRPr="0000180E">
        <w:rPr>
          <w:lang w:val="pl-PL"/>
        </w:rPr>
        <w:t xml:space="preserve"> OJ L 84, 31.3.2016, p. 1.</w:t>
      </w:r>
    </w:p>
  </w:footnote>
  <w:footnote w:id="4">
    <w:p w14:paraId="32028547" w14:textId="77777777" w:rsidR="00BD6966" w:rsidRPr="0000180E" w:rsidRDefault="00BD6966" w:rsidP="00BD6966">
      <w:pPr>
        <w:pStyle w:val="FootnoteText"/>
        <w:rPr>
          <w:lang w:val="pl-PL"/>
        </w:rPr>
      </w:pPr>
      <w:r>
        <w:rPr>
          <w:rStyle w:val="FootnoteReference"/>
        </w:rPr>
        <w:footnoteRef/>
      </w:r>
      <w:r w:rsidRPr="0000180E">
        <w:rPr>
          <w:lang w:val="pl-PL"/>
        </w:rPr>
        <w:t xml:space="preserve"> OJ L 95, 7.4.2017, p. 1.</w:t>
      </w:r>
    </w:p>
  </w:footnote>
  <w:footnote w:id="5">
    <w:p w14:paraId="25BFC498" w14:textId="77777777" w:rsidR="00BD6966" w:rsidRPr="0000180E" w:rsidRDefault="00BD6966" w:rsidP="00BD6966">
      <w:pPr>
        <w:pStyle w:val="FootnoteText"/>
        <w:rPr>
          <w:lang w:val="pl-PL"/>
        </w:rPr>
      </w:pPr>
      <w:r>
        <w:rPr>
          <w:rStyle w:val="FootnoteReference"/>
        </w:rPr>
        <w:footnoteRef/>
      </w:r>
      <w:r w:rsidRPr="0000180E">
        <w:rPr>
          <w:lang w:val="pl-PL"/>
        </w:rPr>
        <w:t xml:space="preserve"> OJ L 221, 8.8.1998, p. 23.</w:t>
      </w:r>
    </w:p>
  </w:footnote>
  <w:footnote w:id="6">
    <w:p w14:paraId="48E5BFDA" w14:textId="77777777" w:rsidR="00BD6966" w:rsidRPr="0000180E" w:rsidRDefault="00BD6966" w:rsidP="00BD6966">
      <w:pPr>
        <w:pStyle w:val="FootnoteText"/>
        <w:rPr>
          <w:lang w:val="pl-PL"/>
        </w:rPr>
      </w:pPr>
      <w:r>
        <w:rPr>
          <w:rStyle w:val="FootnoteReference"/>
        </w:rPr>
        <w:footnoteRef/>
      </w:r>
      <w:r w:rsidRPr="0000180E">
        <w:rPr>
          <w:lang w:val="pl-PL"/>
        </w:rPr>
        <w:t xml:space="preserve"> OJ L 43, 21.2.2017, p. 231.</w:t>
      </w:r>
    </w:p>
  </w:footnote>
  <w:footnote w:id="7">
    <w:p w14:paraId="30FDF6B9" w14:textId="39F1FD3F" w:rsidR="00BD6966" w:rsidRPr="007D49A2" w:rsidRDefault="00BD6966" w:rsidP="00BD6966">
      <w:pPr>
        <w:pStyle w:val="FootnoteText"/>
      </w:pPr>
      <w:r w:rsidRPr="00BD6966">
        <w:rPr>
          <w:rStyle w:val="FootnoteReference"/>
          <w:rFonts w:eastAsia="Calibri"/>
        </w:rPr>
        <w:footnoteRef/>
      </w:r>
      <w:r>
        <w:rPr>
          <w:rStyle w:val="FootnoteReference"/>
        </w:rPr>
        <w:t xml:space="preserve"> </w:t>
      </w:r>
      <w:r>
        <w:t xml:space="preserve">EMA Committee for Medicinal Products for Veterinary Use (CVMP) and EFSA Panel on Biological Hazards (BIOHAZ), 2016. </w:t>
      </w:r>
      <w:r>
        <w:rPr>
          <w:i/>
        </w:rPr>
        <w:t>EMA and EFSA Joint Scientific Opinion on measures to reduce the need to use antimicrobial agents in animal husbandry in the European Union, and the resulting impacts on food safety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28DC" w14:textId="77777777" w:rsidR="000710CB" w:rsidRDefault="00071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B15C" w14:textId="77777777" w:rsidR="000710CB" w:rsidRDefault="0007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186E" w14:textId="77777777" w:rsidR="000710CB" w:rsidRDefault="00071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A81D4F"/>
    <w:multiLevelType w:val="hybridMultilevel"/>
    <w:tmpl w:val="F93653D2"/>
    <w:lvl w:ilvl="0" w:tplc="2996C9F8">
      <w:start w:val="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C2AFC"/>
    <w:multiLevelType w:val="hybridMultilevel"/>
    <w:tmpl w:val="719AA384"/>
    <w:lvl w:ilvl="0" w:tplc="811C9902">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840F2"/>
    <w:multiLevelType w:val="hybridMultilevel"/>
    <w:tmpl w:val="60E000F6"/>
    <w:lvl w:ilvl="0" w:tplc="416A048A">
      <w:start w:val="1"/>
      <w:numFmt w:val="upp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058DB"/>
    <w:multiLevelType w:val="hybridMultilevel"/>
    <w:tmpl w:val="9C086D60"/>
    <w:lvl w:ilvl="0" w:tplc="884AE246">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nl-NL"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3"/>
    <w:docVar w:name="NVAR1" w:val="3"/>
    <w:docVar w:name="NVAR2" w:val="6"/>
    <w:docVar w:name="RULEMNU" w:val=" 3"/>
    <w:docVar w:name="strDocTypeID" w:val="RC"/>
    <w:docVar w:name="strSubDir" w:val="1166"/>
    <w:docVar w:name="TABLERMNU" w:val=" 1"/>
    <w:docVar w:name="TXTLANGUE" w:val="EN"/>
    <w:docVar w:name="TXTLANGUEMIN" w:val="en"/>
    <w:docVar w:name="TXTNRB1" w:val="0484/2018"/>
    <w:docVar w:name="TXTNRB2" w:val="0485/2018"/>
    <w:docVar w:name="TXTNRB3" w:val="0487/2018"/>
    <w:docVar w:name="TXTNRB4" w:val="0489/2018"/>
    <w:docVar w:name="TXTNRPE1" w:val="624.175"/>
    <w:docVar w:name="TXTNRPE2" w:val="624.177"/>
    <w:docVar w:name="TXTNRPE3" w:val="624.179"/>
    <w:docVar w:name="TXTNRPE4" w:val="624.181"/>
    <w:docVar w:name="TXTNRRSP" w:val="2018/2858"/>
    <w:docVar w:name="TXTROUTE" w:val="RC\1166884EN.docx"/>
    <w:docVar w:name="TXTTITLE" w:val="on animal welfare, antimicrobial use and the environmental impact of industrial broiler farming"/>
    <w:docVar w:name="TXTVERSION1" w:val="01-00"/>
    <w:docVar w:name="TXTVERSION2" w:val="01-00"/>
    <w:docVar w:name="TXTVERSION3" w:val="01-00"/>
    <w:docVar w:name="TXTVERSION4" w:val="01-00"/>
  </w:docVars>
  <w:rsids>
    <w:rsidRoot w:val="00543433"/>
    <w:rsid w:val="00005903"/>
    <w:rsid w:val="0001465F"/>
    <w:rsid w:val="000710CB"/>
    <w:rsid w:val="0008467F"/>
    <w:rsid w:val="000D04C6"/>
    <w:rsid w:val="00177088"/>
    <w:rsid w:val="001816C4"/>
    <w:rsid w:val="00184B3E"/>
    <w:rsid w:val="001E6953"/>
    <w:rsid w:val="002439D4"/>
    <w:rsid w:val="00250797"/>
    <w:rsid w:val="00254ABE"/>
    <w:rsid w:val="00263A64"/>
    <w:rsid w:val="002A2B62"/>
    <w:rsid w:val="002C4BC5"/>
    <w:rsid w:val="002E2D08"/>
    <w:rsid w:val="00335275"/>
    <w:rsid w:val="00336C0A"/>
    <w:rsid w:val="003441B1"/>
    <w:rsid w:val="003957F5"/>
    <w:rsid w:val="003B03C1"/>
    <w:rsid w:val="0040134E"/>
    <w:rsid w:val="00407A72"/>
    <w:rsid w:val="00445AC8"/>
    <w:rsid w:val="00486CC2"/>
    <w:rsid w:val="004D5831"/>
    <w:rsid w:val="004E13DA"/>
    <w:rsid w:val="004F500E"/>
    <w:rsid w:val="00503B5F"/>
    <w:rsid w:val="00512790"/>
    <w:rsid w:val="00543433"/>
    <w:rsid w:val="00554F5C"/>
    <w:rsid w:val="00584E73"/>
    <w:rsid w:val="005B0ED3"/>
    <w:rsid w:val="005B55C9"/>
    <w:rsid w:val="005C13B8"/>
    <w:rsid w:val="005F6A25"/>
    <w:rsid w:val="00626D73"/>
    <w:rsid w:val="00676484"/>
    <w:rsid w:val="00690A65"/>
    <w:rsid w:val="00747149"/>
    <w:rsid w:val="00752855"/>
    <w:rsid w:val="007C394B"/>
    <w:rsid w:val="007C665E"/>
    <w:rsid w:val="0082552A"/>
    <w:rsid w:val="008803A8"/>
    <w:rsid w:val="008B04F8"/>
    <w:rsid w:val="008F76C4"/>
    <w:rsid w:val="00905E62"/>
    <w:rsid w:val="00913F8A"/>
    <w:rsid w:val="009219DC"/>
    <w:rsid w:val="00967F3D"/>
    <w:rsid w:val="0099390C"/>
    <w:rsid w:val="009D33CF"/>
    <w:rsid w:val="00A01E41"/>
    <w:rsid w:val="00A30C33"/>
    <w:rsid w:val="00A72F04"/>
    <w:rsid w:val="00AA1D6D"/>
    <w:rsid w:val="00AB70B2"/>
    <w:rsid w:val="00B00367"/>
    <w:rsid w:val="00B011CF"/>
    <w:rsid w:val="00B47668"/>
    <w:rsid w:val="00B602BC"/>
    <w:rsid w:val="00BB330A"/>
    <w:rsid w:val="00BD6966"/>
    <w:rsid w:val="00C55061"/>
    <w:rsid w:val="00C57154"/>
    <w:rsid w:val="00C600AE"/>
    <w:rsid w:val="00CA2FB9"/>
    <w:rsid w:val="00CB6B3F"/>
    <w:rsid w:val="00CF6A5D"/>
    <w:rsid w:val="00D57C45"/>
    <w:rsid w:val="00E3396B"/>
    <w:rsid w:val="00EC024A"/>
    <w:rsid w:val="00F22C18"/>
    <w:rsid w:val="00F25968"/>
    <w:rsid w:val="00F849BF"/>
    <w:rsid w:val="00F92249"/>
    <w:rsid w:val="00FA163E"/>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4611D"/>
  <w15:chartTrackingRefBased/>
  <w15:docId w15:val="{676DB80F-6FE7-4543-B3E2-18876848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link w:val="Hanging12Char"/>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ListParagraph">
    <w:name w:val="List Paragraph"/>
    <w:basedOn w:val="Normal"/>
    <w:uiPriority w:val="34"/>
    <w:qFormat/>
    <w:rsid w:val="00913F8A"/>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913F8A"/>
    <w:pPr>
      <w:widowControl/>
      <w:jc w:val="both"/>
    </w:pPr>
    <w:rPr>
      <w:rFonts w:eastAsia="Calibri"/>
      <w:i/>
      <w:szCs w:val="24"/>
      <w:lang w:eastAsia="en-US"/>
    </w:rPr>
  </w:style>
  <w:style w:type="character" w:customStyle="1" w:styleId="QuoteChar">
    <w:name w:val="Quote Char"/>
    <w:basedOn w:val="DefaultParagraphFont"/>
    <w:link w:val="Quote"/>
    <w:uiPriority w:val="29"/>
    <w:rsid w:val="00913F8A"/>
    <w:rPr>
      <w:rFonts w:eastAsia="Calibri"/>
      <w:i/>
      <w:sz w:val="24"/>
      <w:szCs w:val="24"/>
      <w:lang w:eastAsia="en-US"/>
    </w:rPr>
  </w:style>
  <w:style w:type="paragraph" w:styleId="FootnoteText">
    <w:name w:val="footnote text"/>
    <w:basedOn w:val="Normal"/>
    <w:link w:val="FootnoteTextChar"/>
    <w:uiPriority w:val="99"/>
    <w:rsid w:val="00913F8A"/>
    <w:rPr>
      <w:sz w:val="20"/>
    </w:rPr>
  </w:style>
  <w:style w:type="character" w:customStyle="1" w:styleId="FootnoteTextChar">
    <w:name w:val="Footnote Text Char"/>
    <w:basedOn w:val="DefaultParagraphFont"/>
    <w:link w:val="FootnoteText"/>
    <w:uiPriority w:val="99"/>
    <w:rsid w:val="00913F8A"/>
  </w:style>
  <w:style w:type="character" w:styleId="FootnoteReference">
    <w:name w:val="footnote reference"/>
    <w:uiPriority w:val="99"/>
    <w:rsid w:val="00913F8A"/>
    <w:rPr>
      <w:vertAlign w:val="superscript"/>
    </w:rPr>
  </w:style>
  <w:style w:type="character" w:customStyle="1" w:styleId="Hanging12Char">
    <w:name w:val="Hanging12 Char"/>
    <w:link w:val="Hanging12"/>
    <w:rsid w:val="00BD6966"/>
    <w:rPr>
      <w:sz w:val="24"/>
    </w:rPr>
  </w:style>
  <w:style w:type="character" w:styleId="CommentReference">
    <w:name w:val="annotation reference"/>
    <w:rsid w:val="00BD6966"/>
    <w:rPr>
      <w:sz w:val="16"/>
      <w:szCs w:val="16"/>
    </w:rPr>
  </w:style>
  <w:style w:type="paragraph" w:styleId="CommentText">
    <w:name w:val="annotation text"/>
    <w:basedOn w:val="Normal"/>
    <w:link w:val="CommentTextChar"/>
    <w:rsid w:val="00BD6966"/>
    <w:rPr>
      <w:sz w:val="20"/>
    </w:rPr>
  </w:style>
  <w:style w:type="character" w:customStyle="1" w:styleId="CommentTextChar">
    <w:name w:val="Comment Text Char"/>
    <w:basedOn w:val="DefaultParagraphFont"/>
    <w:link w:val="CommentText"/>
    <w:rsid w:val="00BD6966"/>
  </w:style>
  <w:style w:type="paragraph" w:styleId="BalloonText">
    <w:name w:val="Balloon Text"/>
    <w:basedOn w:val="Normal"/>
    <w:link w:val="BalloonTextChar"/>
    <w:rsid w:val="00BD6966"/>
    <w:rPr>
      <w:rFonts w:ascii="Segoe UI" w:hAnsi="Segoe UI" w:cs="Segoe UI"/>
      <w:sz w:val="18"/>
      <w:szCs w:val="18"/>
    </w:rPr>
  </w:style>
  <w:style w:type="character" w:customStyle="1" w:styleId="BalloonTextChar">
    <w:name w:val="Balloon Text Char"/>
    <w:basedOn w:val="DefaultParagraphFont"/>
    <w:link w:val="BalloonText"/>
    <w:rsid w:val="00BD6966"/>
    <w:rPr>
      <w:rFonts w:ascii="Segoe UI" w:hAnsi="Segoe UI" w:cs="Segoe UI"/>
      <w:sz w:val="18"/>
      <w:szCs w:val="18"/>
    </w:rPr>
  </w:style>
  <w:style w:type="paragraph" w:styleId="CommentSubject">
    <w:name w:val="annotation subject"/>
    <w:basedOn w:val="CommentText"/>
    <w:next w:val="CommentText"/>
    <w:link w:val="CommentSubjectChar"/>
    <w:rsid w:val="00C57154"/>
    <w:rPr>
      <w:b/>
      <w:bCs/>
    </w:rPr>
  </w:style>
  <w:style w:type="character" w:customStyle="1" w:styleId="CommentSubjectChar">
    <w:name w:val="Comment Subject Char"/>
    <w:basedOn w:val="CommentTextChar"/>
    <w:link w:val="CommentSubject"/>
    <w:rsid w:val="00C57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11091</Characters>
  <Application>Microsoft Office Word</Application>
  <DocSecurity>0</DocSecurity>
  <Lines>198</Lines>
  <Paragraphs>71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FRIMSTON Edmund</cp:lastModifiedBy>
  <cp:revision>2</cp:revision>
  <cp:lastPrinted>2018-10-23T09:08:00Z</cp:lastPrinted>
  <dcterms:created xsi:type="dcterms:W3CDTF">2018-10-23T11:56:00Z</dcterms:created>
  <dcterms:modified xsi:type="dcterms:W3CDTF">2018-10-23T11:56:00Z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1166884</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RC\1166884EN.docx</vt:lpwstr>
  </property>
  <property fmtid="{D5CDD505-2E9C-101B-9397-08002B2CF9AE}" pid="11" name="Bookout">
    <vt:lpwstr>OK - 2018/10/23 13:56</vt:lpwstr>
  </property>
  <property fmtid="{D5CDD505-2E9C-101B-9397-08002B2CF9AE}" pid="12" name="SubscribeElise">
    <vt:lpwstr/>
  </property>
</Properties>
</file>